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1FF4" w14:textId="155EB4B4" w:rsidR="007B135A" w:rsidRPr="0041391B" w:rsidRDefault="007B135A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328"/>
        <w:gridCol w:w="919"/>
        <w:gridCol w:w="2477"/>
        <w:gridCol w:w="1418"/>
        <w:gridCol w:w="1527"/>
        <w:gridCol w:w="916"/>
        <w:gridCol w:w="334"/>
        <w:gridCol w:w="1547"/>
        <w:gridCol w:w="1523"/>
      </w:tblGrid>
      <w:tr w:rsidR="002A48EE" w:rsidRPr="0041391B" w14:paraId="1D306607" w14:textId="6C042CF6" w:rsidTr="00F560CF">
        <w:tc>
          <w:tcPr>
            <w:tcW w:w="567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84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5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93" w:type="pct"/>
            <w:shd w:val="clear" w:color="auto" w:fill="00C0BB"/>
          </w:tcPr>
          <w:p w14:paraId="773DC6AF" w14:textId="2393E8D8" w:rsidR="000C490B" w:rsidRPr="0041391B" w:rsidRDefault="00E51DED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067FF7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</w:t>
            </w:r>
            <w:r w:rsidR="00067FF7">
              <w:rPr>
                <w:b/>
                <w:sz w:val="20"/>
                <w:szCs w:val="20"/>
              </w:rPr>
              <w:t>2/202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2A48EE" w:rsidRPr="0041391B" w14:paraId="557D68C8" w14:textId="77777777" w:rsidTr="00F560CF">
        <w:tc>
          <w:tcPr>
            <w:tcW w:w="567" w:type="pct"/>
            <w:gridSpan w:val="2"/>
            <w:shd w:val="clear" w:color="auto" w:fill="00C0BB"/>
          </w:tcPr>
          <w:p w14:paraId="64C6E64B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772" w:type="pct"/>
            <w:gridSpan w:val="2"/>
            <w:shd w:val="clear" w:color="auto" w:fill="00C0BB"/>
          </w:tcPr>
          <w:p w14:paraId="3D7DBD96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95" w:type="pct"/>
            <w:shd w:val="clear" w:color="auto" w:fill="00C0BB"/>
          </w:tcPr>
          <w:p w14:paraId="1BDF0461" w14:textId="50E3C1FA" w:rsidR="000C490B" w:rsidRPr="0041391B" w:rsidRDefault="002A48EE" w:rsidP="002A4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69" w:type="pct"/>
            <w:gridSpan w:val="2"/>
            <w:shd w:val="clear" w:color="auto" w:fill="00C0BB"/>
          </w:tcPr>
          <w:p w14:paraId="55B7AB65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704" w:type="pct"/>
            <w:shd w:val="clear" w:color="auto" w:fill="00C0BB"/>
          </w:tcPr>
          <w:p w14:paraId="02371757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693" w:type="pct"/>
            <w:shd w:val="clear" w:color="auto" w:fill="00C0BB"/>
          </w:tcPr>
          <w:p w14:paraId="16870953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F560CF">
        <w:tc>
          <w:tcPr>
            <w:tcW w:w="567" w:type="pct"/>
            <w:gridSpan w:val="2"/>
          </w:tcPr>
          <w:p w14:paraId="472990E8" w14:textId="2843A885" w:rsidR="00067FF7" w:rsidRPr="004F3762" w:rsidRDefault="00E51DED" w:rsidP="00067FF7">
            <w:pPr>
              <w:rPr>
                <w:sz w:val="20"/>
                <w:szCs w:val="20"/>
              </w:rPr>
            </w:pPr>
            <w:r w:rsidRPr="00E51DED">
              <w:rPr>
                <w:sz w:val="20"/>
                <w:szCs w:val="20"/>
              </w:rPr>
              <w:t>İLF</w:t>
            </w:r>
            <w:r>
              <w:rPr>
                <w:sz w:val="20"/>
                <w:szCs w:val="20"/>
              </w:rPr>
              <w:t xml:space="preserve"> </w:t>
            </w:r>
            <w:r w:rsidRPr="00E51DED">
              <w:rPr>
                <w:sz w:val="20"/>
                <w:szCs w:val="20"/>
              </w:rPr>
              <w:t>412</w:t>
            </w:r>
          </w:p>
        </w:tc>
        <w:tc>
          <w:tcPr>
            <w:tcW w:w="1772" w:type="pct"/>
            <w:gridSpan w:val="2"/>
          </w:tcPr>
          <w:p w14:paraId="20A8DC5D" w14:textId="7C586F72" w:rsidR="00067FF7" w:rsidRPr="004F3762" w:rsidRDefault="00E51DED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 Felsefesi- II</w:t>
            </w:r>
          </w:p>
        </w:tc>
        <w:tc>
          <w:tcPr>
            <w:tcW w:w="695" w:type="pct"/>
          </w:tcPr>
          <w:p w14:paraId="091AAB96" w14:textId="01C00E7E" w:rsidR="00067FF7" w:rsidRPr="0067663B" w:rsidRDefault="0067663B" w:rsidP="00067FF7">
            <w:pPr>
              <w:jc w:val="center"/>
              <w:rPr>
                <w:sz w:val="20"/>
                <w:szCs w:val="20"/>
              </w:rPr>
            </w:pPr>
            <w:r w:rsidRPr="0067663B">
              <w:rPr>
                <w:rFonts w:eastAsia="MS Gothic"/>
                <w:b/>
                <w:sz w:val="20"/>
                <w:szCs w:val="20"/>
              </w:rPr>
              <w:t>Zorunlu</w:t>
            </w:r>
          </w:p>
        </w:tc>
        <w:tc>
          <w:tcPr>
            <w:tcW w:w="569" w:type="pct"/>
            <w:gridSpan w:val="2"/>
          </w:tcPr>
          <w:p w14:paraId="5F355E20" w14:textId="28198C94" w:rsidR="00067FF7" w:rsidRPr="0041391B" w:rsidRDefault="00E51DED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</w:tcPr>
          <w:p w14:paraId="1D68DA27" w14:textId="747DF80F" w:rsidR="00067FF7" w:rsidRPr="0041391B" w:rsidRDefault="00E51DED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pct"/>
          </w:tcPr>
          <w:p w14:paraId="5A85CC8E" w14:textId="2F299486" w:rsidR="00067FF7" w:rsidRPr="0041391B" w:rsidRDefault="00E51DED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77777777" w:rsidR="002A48EE" w:rsidRPr="0041391B" w:rsidRDefault="002A48EE" w:rsidP="002A48EE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Lisans</w:t>
            </w:r>
          </w:p>
        </w:tc>
      </w:tr>
      <w:tr w:rsidR="002A48EE" w:rsidRPr="0041391B" w14:paraId="3A4B92F1" w14:textId="77777777" w:rsidTr="00F560CF">
        <w:tc>
          <w:tcPr>
            <w:tcW w:w="1694" w:type="pct"/>
            <w:gridSpan w:val="3"/>
            <w:shd w:val="clear" w:color="auto" w:fill="00C0BB"/>
          </w:tcPr>
          <w:p w14:paraId="5CD2FC2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57" w:type="pct"/>
            <w:gridSpan w:val="3"/>
            <w:shd w:val="clear" w:color="auto" w:fill="00C0BB"/>
          </w:tcPr>
          <w:p w14:paraId="2520F296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49" w:type="pct"/>
            <w:gridSpan w:val="3"/>
            <w:shd w:val="clear" w:color="auto" w:fill="00C0BB"/>
          </w:tcPr>
          <w:p w14:paraId="7C072CB8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F560CF">
        <w:tc>
          <w:tcPr>
            <w:tcW w:w="1694" w:type="pct"/>
            <w:gridSpan w:val="3"/>
          </w:tcPr>
          <w:p w14:paraId="00510A63" w14:textId="70EFDFF3" w:rsidR="002A48EE" w:rsidRPr="0041391B" w:rsidRDefault="004F3762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3"/>
          </w:tcPr>
          <w:p w14:paraId="40081B7B" w14:textId="3D6F532E" w:rsidR="002A48EE" w:rsidRPr="0041391B" w:rsidRDefault="004F3762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9" w:type="pct"/>
            <w:gridSpan w:val="3"/>
          </w:tcPr>
          <w:p w14:paraId="12131B46" w14:textId="72D6E6BF" w:rsidR="002A48EE" w:rsidRPr="0041391B" w:rsidRDefault="004F3762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77777777" w:rsidR="002A48EE" w:rsidRPr="0041391B" w:rsidRDefault="002A48EE" w:rsidP="002A48EE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77777777" w:rsidR="002A48EE" w:rsidRPr="0041391B" w:rsidRDefault="002A48EE" w:rsidP="002A48EE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Türkçe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57D9D037" w14:textId="77D28097" w:rsidR="004F3762" w:rsidRPr="004F3762" w:rsidRDefault="0094490B" w:rsidP="0094490B">
            <w:pPr>
              <w:jc w:val="both"/>
              <w:rPr>
                <w:sz w:val="20"/>
                <w:szCs w:val="20"/>
              </w:rPr>
            </w:pPr>
            <w:r w:rsidRPr="00305C19">
              <w:t>Dini inanç</w:t>
            </w:r>
            <w:r>
              <w:t xml:space="preserve"> esas</w:t>
            </w:r>
            <w:r w:rsidRPr="00305C19">
              <w:t>ların</w:t>
            </w:r>
            <w:r>
              <w:t>ın</w:t>
            </w:r>
            <w:r w:rsidRPr="00305C19">
              <w:t xml:space="preserve"> </w:t>
            </w:r>
            <w:r>
              <w:t xml:space="preserve">mantıksal olarak </w:t>
            </w:r>
            <w:r w:rsidRPr="00305C19">
              <w:t xml:space="preserve">anlamlı, tutarlı ve </w:t>
            </w:r>
            <w:r>
              <w:t xml:space="preserve">doğruluğunu araştırarak, din felsefesinin sorunları hakkında bilgi edinme, bu bilgiyi kullanabilme, analitik düşünebilme ve problem çözme yeteneklerini geliştirme, </w:t>
            </w:r>
            <w:r w:rsidRPr="00E25FEF">
              <w:t>kaynaklara ulaşabilmeye yönelik beceri ve yetkinlik kazandırmak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375886B9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F3762">
              <w:rPr>
                <w:sz w:val="20"/>
                <w:szCs w:val="20"/>
              </w:rPr>
              <w:t>Yok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47FEDBAD" w:rsidR="004F3762" w:rsidRPr="0041391B" w:rsidRDefault="004F3762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94490B" w:rsidRPr="0041391B" w14:paraId="10C9492D" w14:textId="77777777" w:rsidTr="008571CF">
        <w:tc>
          <w:tcPr>
            <w:tcW w:w="5000" w:type="pct"/>
            <w:gridSpan w:val="9"/>
          </w:tcPr>
          <w:p w14:paraId="44DDEC91" w14:textId="61796BC4" w:rsidR="0094490B" w:rsidRPr="0041391B" w:rsidRDefault="00F560CF" w:rsidP="0094490B">
            <w:pPr>
              <w:rPr>
                <w:sz w:val="20"/>
                <w:szCs w:val="20"/>
              </w:rPr>
            </w:pPr>
            <w:r>
              <w:t>Ateizm, k</w:t>
            </w:r>
            <w:r w:rsidR="0094490B">
              <w:t xml:space="preserve">ötülük problemi, </w:t>
            </w:r>
            <w:r>
              <w:t>din dili</w:t>
            </w:r>
            <w:r w:rsidR="0094490B">
              <w:t xml:space="preserve">, </w:t>
            </w:r>
            <w:r w:rsidR="0094490B" w:rsidRPr="001A0F6C">
              <w:t xml:space="preserve">din ve bilim ilişkisi, din ve ahlak ilişkisi, vahiy, mucize, ölüm sonrası hayat </w:t>
            </w:r>
            <w:r>
              <w:t>vb.</w:t>
            </w:r>
            <w:r w:rsidR="0094490B" w:rsidRPr="001A0F6C">
              <w:t xml:space="preserve"> konular ve bu konular</w:t>
            </w:r>
            <w:r>
              <w:t xml:space="preserve"> hakkında farklı </w:t>
            </w:r>
            <w:r w:rsidR="0094490B" w:rsidRPr="001A0F6C">
              <w:t xml:space="preserve">düşünürlerin yaklaşımları </w:t>
            </w:r>
            <w:r>
              <w:t>incelenecektir</w:t>
            </w:r>
          </w:p>
        </w:tc>
      </w:tr>
      <w:tr w:rsidR="0094490B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31A830E4" w:rsidR="0094490B" w:rsidRPr="0041391B" w:rsidRDefault="00F560CF" w:rsidP="0094490B">
            <w:pPr>
              <w:rPr>
                <w:b/>
                <w:sz w:val="20"/>
                <w:szCs w:val="20"/>
              </w:rPr>
            </w:pPr>
            <w:r w:rsidRPr="00437983">
              <w:rPr>
                <w:b/>
              </w:rPr>
              <w:t>Ders İçin Önerilen Diğer Hususlar</w:t>
            </w:r>
          </w:p>
        </w:tc>
      </w:tr>
      <w:tr w:rsidR="004F3762" w:rsidRPr="0041391B" w14:paraId="7D01B44C" w14:textId="77777777" w:rsidTr="008571CF">
        <w:tc>
          <w:tcPr>
            <w:tcW w:w="5000" w:type="pct"/>
            <w:gridSpan w:val="9"/>
          </w:tcPr>
          <w:p w14:paraId="3A983A4F" w14:textId="7DB32D5A" w:rsidR="004F3762" w:rsidRPr="0041391B" w:rsidRDefault="001821BC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7EE9CF40" w14:textId="77777777" w:rsidTr="008571CF">
        <w:tc>
          <w:tcPr>
            <w:tcW w:w="5000" w:type="pct"/>
            <w:gridSpan w:val="9"/>
          </w:tcPr>
          <w:p w14:paraId="044C51C6" w14:textId="70EC7567" w:rsidR="004F3762" w:rsidRPr="0041391B" w:rsidRDefault="001821BC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41391B" w14:paraId="23CE3F79" w14:textId="77777777" w:rsidTr="008571CF">
        <w:tc>
          <w:tcPr>
            <w:tcW w:w="149" w:type="pct"/>
          </w:tcPr>
          <w:p w14:paraId="4F7B6156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B51FFC7" w14:textId="4317F0B2" w:rsidR="004F3762" w:rsidRPr="0041391B" w:rsidRDefault="00F560CF" w:rsidP="004F3762">
            <w:pPr>
              <w:rPr>
                <w:sz w:val="20"/>
                <w:szCs w:val="20"/>
              </w:rPr>
            </w:pPr>
            <w:r>
              <w:t>Ed. Kılıç</w:t>
            </w:r>
            <w:r w:rsidR="004F3762">
              <w:t xml:space="preserve">, </w:t>
            </w:r>
            <w:r>
              <w:t>Recep</w:t>
            </w:r>
            <w:r w:rsidR="00717FB9">
              <w:t>, Reçber, M. Sait,</w:t>
            </w:r>
            <w:r w:rsidR="004F3762">
              <w:t xml:space="preserve"> </w:t>
            </w:r>
            <w:r w:rsidRPr="001901DD">
              <w:rPr>
                <w:i/>
                <w:iCs/>
              </w:rPr>
              <w:t xml:space="preserve">Din Felsefesi </w:t>
            </w:r>
            <w:r>
              <w:rPr>
                <w:i/>
                <w:iCs/>
              </w:rPr>
              <w:t xml:space="preserve">El Kitabı. </w:t>
            </w:r>
            <w:r>
              <w:t xml:space="preserve"> Ankara: Grafiker </w:t>
            </w:r>
            <w:r w:rsidR="004F3762">
              <w:t>Yayıncılık, 20</w:t>
            </w:r>
            <w:r>
              <w:t>14</w:t>
            </w:r>
            <w:r w:rsidR="004F3762">
              <w:t>.</w:t>
            </w:r>
          </w:p>
        </w:tc>
      </w:tr>
      <w:tr w:rsidR="004F3762" w:rsidRPr="0041391B" w14:paraId="56BFDCE3" w14:textId="77777777" w:rsidTr="008571CF">
        <w:tc>
          <w:tcPr>
            <w:tcW w:w="149" w:type="pct"/>
          </w:tcPr>
          <w:p w14:paraId="3A65D80E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701E556B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7243EC2C" w14:textId="77777777" w:rsidTr="008571CF">
        <w:tc>
          <w:tcPr>
            <w:tcW w:w="149" w:type="pct"/>
          </w:tcPr>
          <w:p w14:paraId="1989C36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51A6FE8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7CC17BD2" w14:textId="77777777" w:rsidTr="008571CF">
        <w:tc>
          <w:tcPr>
            <w:tcW w:w="149" w:type="pct"/>
          </w:tcPr>
          <w:p w14:paraId="32C84C7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492A746E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462319F3" w14:textId="77777777" w:rsidTr="008571CF">
        <w:tc>
          <w:tcPr>
            <w:tcW w:w="149" w:type="pct"/>
          </w:tcPr>
          <w:p w14:paraId="25B81BA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2309B2F5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330098CE" w14:textId="77777777" w:rsidTr="008571CF">
        <w:tc>
          <w:tcPr>
            <w:tcW w:w="149" w:type="pct"/>
          </w:tcPr>
          <w:p w14:paraId="4BA75AE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6E57A277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</w:p>
        </w:tc>
      </w:tr>
      <w:tr w:rsidR="004F3762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İlave Kaynak(</w:t>
            </w:r>
            <w:proofErr w:type="spellStart"/>
            <w:r w:rsidRPr="0041391B">
              <w:rPr>
                <w:b/>
                <w:sz w:val="20"/>
                <w:szCs w:val="20"/>
              </w:rPr>
              <w:t>lar</w:t>
            </w:r>
            <w:proofErr w:type="spellEnd"/>
            <w:r w:rsidRPr="0041391B">
              <w:rPr>
                <w:b/>
                <w:sz w:val="20"/>
                <w:szCs w:val="20"/>
              </w:rPr>
              <w:t>)*</w:t>
            </w:r>
          </w:p>
        </w:tc>
      </w:tr>
      <w:tr w:rsidR="00F560CF" w:rsidRPr="0041391B" w14:paraId="2043CC64" w14:textId="77777777" w:rsidTr="008571CF">
        <w:tc>
          <w:tcPr>
            <w:tcW w:w="149" w:type="pct"/>
          </w:tcPr>
          <w:p w14:paraId="34FC2D6D" w14:textId="77777777" w:rsidR="00F560CF" w:rsidRPr="0041391B" w:rsidRDefault="00F560CF" w:rsidP="00F560CF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9677016" w14:textId="2C09E41C" w:rsidR="00F560CF" w:rsidRPr="0041391B" w:rsidRDefault="00F560CF" w:rsidP="00F560CF">
            <w:pPr>
              <w:rPr>
                <w:sz w:val="20"/>
                <w:szCs w:val="20"/>
              </w:rPr>
            </w:pPr>
            <w:r w:rsidRPr="002832D5">
              <w:rPr>
                <w:lang w:val="en-US"/>
              </w:rPr>
              <w:t>Davies, Brian</w:t>
            </w:r>
            <w:r>
              <w:rPr>
                <w:lang w:val="en-US"/>
              </w:rPr>
              <w:t xml:space="preserve">. </w:t>
            </w:r>
            <w:r w:rsidRPr="002832D5">
              <w:rPr>
                <w:i/>
                <w:iCs/>
                <w:lang w:val="en-US"/>
              </w:rPr>
              <w:t xml:space="preserve">Din </w:t>
            </w:r>
            <w:proofErr w:type="spellStart"/>
            <w:r w:rsidRPr="002832D5">
              <w:rPr>
                <w:i/>
                <w:iCs/>
                <w:lang w:val="en-US"/>
              </w:rPr>
              <w:t>Felsefesine</w:t>
            </w:r>
            <w:proofErr w:type="spellEnd"/>
            <w:r w:rsidRPr="002832D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832D5">
              <w:rPr>
                <w:i/>
                <w:iCs/>
                <w:lang w:val="en-US"/>
              </w:rPr>
              <w:t>Giriş</w:t>
            </w:r>
            <w:proofErr w:type="spellEnd"/>
            <w:r>
              <w:rPr>
                <w:i/>
                <w:iCs/>
                <w:lang w:val="en-US"/>
              </w:rPr>
              <w:t>.</w:t>
            </w:r>
            <w:r w:rsidRPr="002832D5">
              <w:rPr>
                <w:lang w:val="en-US"/>
              </w:rPr>
              <w:t xml:space="preserve"> (</w:t>
            </w:r>
            <w:proofErr w:type="spellStart"/>
            <w:r w:rsidRPr="002832D5">
              <w:rPr>
                <w:lang w:val="en-US"/>
              </w:rPr>
              <w:t>çev</w:t>
            </w:r>
            <w:proofErr w:type="spellEnd"/>
            <w:r w:rsidRPr="002832D5">
              <w:rPr>
                <w:lang w:val="en-US"/>
              </w:rPr>
              <w:t xml:space="preserve">. </w:t>
            </w:r>
            <w:r w:rsidRPr="002832D5">
              <w:rPr>
                <w:lang w:val="fr-FR"/>
              </w:rPr>
              <w:t xml:space="preserve">Fatih </w:t>
            </w:r>
            <w:proofErr w:type="spellStart"/>
            <w:r w:rsidRPr="002832D5">
              <w:rPr>
                <w:lang w:val="fr-FR"/>
              </w:rPr>
              <w:t>Taştan</w:t>
            </w:r>
            <w:proofErr w:type="spellEnd"/>
            <w:r w:rsidRPr="002832D5">
              <w:rPr>
                <w:lang w:val="fr-FR"/>
              </w:rPr>
              <w:t>),</w:t>
            </w:r>
            <w:r w:rsidRPr="008E7F36">
              <w:t xml:space="preserve"> </w:t>
            </w:r>
            <w:proofErr w:type="gramStart"/>
            <w:r w:rsidRPr="008E7F36">
              <w:t>İstanbul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 w:rsidRPr="002832D5">
              <w:rPr>
                <w:lang w:val="fr-FR"/>
              </w:rPr>
              <w:t>Paradigma</w:t>
            </w:r>
            <w:proofErr w:type="spellEnd"/>
            <w:r w:rsidRPr="002832D5">
              <w:rPr>
                <w:lang w:val="fr-FR"/>
              </w:rPr>
              <w:t xml:space="preserve"> </w:t>
            </w:r>
            <w:proofErr w:type="spellStart"/>
            <w:r w:rsidRPr="002832D5">
              <w:rPr>
                <w:lang w:val="fr-FR"/>
              </w:rPr>
              <w:t>Yay</w:t>
            </w:r>
            <w:proofErr w:type="spellEnd"/>
            <w:r w:rsidRPr="002832D5">
              <w:rPr>
                <w:lang w:val="fr-FR"/>
              </w:rPr>
              <w:t>.</w:t>
            </w:r>
            <w:r w:rsidRPr="008E7F36">
              <w:t xml:space="preserve"> 201</w:t>
            </w:r>
            <w:r>
              <w:t>1.</w:t>
            </w:r>
          </w:p>
        </w:tc>
      </w:tr>
      <w:tr w:rsidR="00F560CF" w:rsidRPr="0041391B" w14:paraId="118E5737" w14:textId="77777777" w:rsidTr="008571CF">
        <w:tc>
          <w:tcPr>
            <w:tcW w:w="149" w:type="pct"/>
          </w:tcPr>
          <w:p w14:paraId="6404EE58" w14:textId="77777777" w:rsidR="00F560CF" w:rsidRPr="0041391B" w:rsidRDefault="00F560CF" w:rsidP="00F560CF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2C3893E4" w14:textId="74470E75" w:rsidR="00F560CF" w:rsidRPr="0041391B" w:rsidRDefault="00F560CF" w:rsidP="00F560CF">
            <w:pPr>
              <w:rPr>
                <w:sz w:val="20"/>
                <w:szCs w:val="20"/>
              </w:rPr>
            </w:pPr>
            <w:r>
              <w:t xml:space="preserve">Başçı, Vahdettin vd. </w:t>
            </w:r>
            <w:r w:rsidRPr="001901DD">
              <w:rPr>
                <w:i/>
                <w:iCs/>
              </w:rPr>
              <w:t>Din Felsefesi Dersleri</w:t>
            </w:r>
            <w:r>
              <w:rPr>
                <w:i/>
                <w:iCs/>
              </w:rPr>
              <w:t xml:space="preserve">. </w:t>
            </w:r>
            <w:r>
              <w:t xml:space="preserve"> Erzurum: Eser Basın Yayın Dağıtım Matbaacılık, 2015.</w:t>
            </w:r>
          </w:p>
        </w:tc>
      </w:tr>
      <w:tr w:rsidR="00F560CF" w:rsidRPr="0041391B" w14:paraId="2FA26696" w14:textId="77777777" w:rsidTr="008571CF">
        <w:tc>
          <w:tcPr>
            <w:tcW w:w="149" w:type="pct"/>
          </w:tcPr>
          <w:p w14:paraId="1CB4941A" w14:textId="77777777" w:rsidR="00F560CF" w:rsidRPr="0041391B" w:rsidRDefault="00F560CF" w:rsidP="00F560CF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6A268FC" w14:textId="30D1749A" w:rsidR="00F560CF" w:rsidRPr="0041391B" w:rsidRDefault="00F560CF" w:rsidP="00F560CF">
            <w:pPr>
              <w:rPr>
                <w:sz w:val="20"/>
                <w:szCs w:val="20"/>
              </w:rPr>
            </w:pPr>
            <w:r>
              <w:t xml:space="preserve">Bayraktar, Mehmet. </w:t>
            </w:r>
            <w:r w:rsidRPr="00521F35">
              <w:rPr>
                <w:i/>
                <w:iCs/>
                <w:lang w:val="en-US"/>
              </w:rPr>
              <w:t xml:space="preserve">Din </w:t>
            </w:r>
            <w:proofErr w:type="spellStart"/>
            <w:r w:rsidRPr="00521F35">
              <w:rPr>
                <w:i/>
                <w:iCs/>
                <w:lang w:val="en-US"/>
              </w:rPr>
              <w:t>Felsefesine</w:t>
            </w:r>
            <w:proofErr w:type="spellEnd"/>
            <w:r w:rsidRPr="00521F3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21F35">
              <w:rPr>
                <w:i/>
                <w:iCs/>
                <w:lang w:val="en-US"/>
              </w:rPr>
              <w:t>Giriş</w:t>
            </w:r>
            <w:proofErr w:type="spellEnd"/>
            <w:r>
              <w:rPr>
                <w:i/>
                <w:iCs/>
                <w:lang w:val="en-US"/>
              </w:rPr>
              <w:t xml:space="preserve">. </w:t>
            </w:r>
            <w:r>
              <w:t>Ankara: Eskiyeni Yay, 2012.</w:t>
            </w:r>
          </w:p>
        </w:tc>
      </w:tr>
      <w:tr w:rsidR="00F560CF" w:rsidRPr="0041391B" w14:paraId="0CEC91C8" w14:textId="77777777" w:rsidTr="008571CF">
        <w:tc>
          <w:tcPr>
            <w:tcW w:w="149" w:type="pct"/>
          </w:tcPr>
          <w:p w14:paraId="04465692" w14:textId="77777777" w:rsidR="00F560CF" w:rsidRPr="0041391B" w:rsidRDefault="00F560CF" w:rsidP="00F560CF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1973DCDC" w14:textId="4ECEC594" w:rsidR="00F560CF" w:rsidRPr="0041391B" w:rsidRDefault="00F560CF" w:rsidP="00F560CF">
            <w:pPr>
              <w:rPr>
                <w:sz w:val="20"/>
                <w:szCs w:val="20"/>
              </w:rPr>
            </w:pPr>
            <w:r>
              <w:t xml:space="preserve">Taylan, Necip. </w:t>
            </w:r>
            <w:r w:rsidRPr="008E7F36">
              <w:rPr>
                <w:i/>
                <w:iCs/>
              </w:rPr>
              <w:t>İslam Düşüncesinde Din Felsefeleri</w:t>
            </w:r>
            <w:r>
              <w:rPr>
                <w:i/>
                <w:iCs/>
              </w:rPr>
              <w:t>.</w:t>
            </w:r>
            <w:r w:rsidRPr="00F61801">
              <w:t xml:space="preserve"> İstanbul</w:t>
            </w:r>
            <w:r>
              <w:t xml:space="preserve">: </w:t>
            </w:r>
            <w:r w:rsidRPr="00F61801">
              <w:t xml:space="preserve">Çağrı Yayınları, </w:t>
            </w:r>
            <w:r>
              <w:t>2013.</w:t>
            </w:r>
          </w:p>
        </w:tc>
      </w:tr>
      <w:tr w:rsidR="00F560CF" w:rsidRPr="0041391B" w14:paraId="06CA6163" w14:textId="77777777" w:rsidTr="008571CF">
        <w:tc>
          <w:tcPr>
            <w:tcW w:w="149" w:type="pct"/>
          </w:tcPr>
          <w:p w14:paraId="6AA15F6C" w14:textId="77777777" w:rsidR="00F560CF" w:rsidRPr="0041391B" w:rsidRDefault="00F560CF" w:rsidP="00F560CF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4BD6B429" w14:textId="2FD06007" w:rsidR="00F560CF" w:rsidRPr="0041391B" w:rsidRDefault="00F560CF" w:rsidP="00F560CF">
            <w:pPr>
              <w:rPr>
                <w:sz w:val="20"/>
                <w:szCs w:val="20"/>
              </w:rPr>
            </w:pPr>
            <w:r>
              <w:t xml:space="preserve">Aydın, Mehmet S., </w:t>
            </w:r>
            <w:r w:rsidRPr="008E7F36">
              <w:rPr>
                <w:i/>
                <w:iCs/>
              </w:rPr>
              <w:t>Din Felsefesi</w:t>
            </w:r>
            <w:r>
              <w:rPr>
                <w:i/>
                <w:iCs/>
              </w:rPr>
              <w:t xml:space="preserve">. </w:t>
            </w:r>
            <w:r>
              <w:t>İzmir: İzmir İlahiyat Fakültesi Yayınları, 2012.</w:t>
            </w:r>
          </w:p>
        </w:tc>
      </w:tr>
      <w:tr w:rsidR="00F560CF" w:rsidRPr="0041391B" w14:paraId="0ADA65A0" w14:textId="77777777" w:rsidTr="008571CF">
        <w:tc>
          <w:tcPr>
            <w:tcW w:w="149" w:type="pct"/>
          </w:tcPr>
          <w:p w14:paraId="1D06DA4D" w14:textId="77777777" w:rsidR="00F560CF" w:rsidRPr="0041391B" w:rsidRDefault="00F560CF" w:rsidP="00F560CF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2AF16C74" w14:textId="017F6700" w:rsidR="00F560CF" w:rsidRPr="0041391B" w:rsidRDefault="00F560CF" w:rsidP="00F560CF">
            <w:pPr>
              <w:rPr>
                <w:sz w:val="20"/>
                <w:szCs w:val="20"/>
              </w:rPr>
            </w:pPr>
            <w:r w:rsidRPr="002832D5">
              <w:rPr>
                <w:lang w:val="en-US"/>
              </w:rPr>
              <w:t>Davies, Brian</w:t>
            </w:r>
            <w:r>
              <w:rPr>
                <w:lang w:val="en-US"/>
              </w:rPr>
              <w:t xml:space="preserve">. </w:t>
            </w:r>
            <w:r w:rsidRPr="002832D5">
              <w:rPr>
                <w:i/>
                <w:iCs/>
                <w:lang w:val="en-US"/>
              </w:rPr>
              <w:t xml:space="preserve">Din </w:t>
            </w:r>
            <w:proofErr w:type="spellStart"/>
            <w:r w:rsidRPr="002832D5">
              <w:rPr>
                <w:i/>
                <w:iCs/>
                <w:lang w:val="en-US"/>
              </w:rPr>
              <w:t>Felsefesine</w:t>
            </w:r>
            <w:proofErr w:type="spellEnd"/>
            <w:r w:rsidRPr="002832D5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832D5">
              <w:rPr>
                <w:i/>
                <w:iCs/>
                <w:lang w:val="en-US"/>
              </w:rPr>
              <w:t>Giriş</w:t>
            </w:r>
            <w:proofErr w:type="spellEnd"/>
            <w:r>
              <w:rPr>
                <w:i/>
                <w:iCs/>
                <w:lang w:val="en-US"/>
              </w:rPr>
              <w:t>.</w:t>
            </w:r>
            <w:r w:rsidRPr="002832D5">
              <w:rPr>
                <w:lang w:val="en-US"/>
              </w:rPr>
              <w:t xml:space="preserve"> (</w:t>
            </w:r>
            <w:proofErr w:type="spellStart"/>
            <w:r w:rsidRPr="002832D5">
              <w:rPr>
                <w:lang w:val="en-US"/>
              </w:rPr>
              <w:t>çev</w:t>
            </w:r>
            <w:proofErr w:type="spellEnd"/>
            <w:r w:rsidRPr="002832D5">
              <w:rPr>
                <w:lang w:val="en-US"/>
              </w:rPr>
              <w:t xml:space="preserve">. </w:t>
            </w:r>
            <w:r w:rsidRPr="002832D5">
              <w:rPr>
                <w:lang w:val="fr-FR"/>
              </w:rPr>
              <w:t xml:space="preserve">Fatih </w:t>
            </w:r>
            <w:proofErr w:type="spellStart"/>
            <w:r w:rsidRPr="002832D5">
              <w:rPr>
                <w:lang w:val="fr-FR"/>
              </w:rPr>
              <w:t>Taştan</w:t>
            </w:r>
            <w:proofErr w:type="spellEnd"/>
            <w:r w:rsidRPr="002832D5">
              <w:rPr>
                <w:lang w:val="fr-FR"/>
              </w:rPr>
              <w:t>),</w:t>
            </w:r>
            <w:r w:rsidRPr="008E7F36">
              <w:t xml:space="preserve"> </w:t>
            </w:r>
            <w:proofErr w:type="gramStart"/>
            <w:r w:rsidRPr="008E7F36">
              <w:t>İstanbul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 w:rsidRPr="002832D5">
              <w:rPr>
                <w:lang w:val="fr-FR"/>
              </w:rPr>
              <w:t>Paradigma</w:t>
            </w:r>
            <w:proofErr w:type="spellEnd"/>
            <w:r w:rsidRPr="002832D5">
              <w:rPr>
                <w:lang w:val="fr-FR"/>
              </w:rPr>
              <w:t xml:space="preserve"> </w:t>
            </w:r>
            <w:proofErr w:type="spellStart"/>
            <w:r w:rsidRPr="002832D5">
              <w:rPr>
                <w:lang w:val="fr-FR"/>
              </w:rPr>
              <w:t>Yay</w:t>
            </w:r>
            <w:proofErr w:type="spellEnd"/>
            <w:r w:rsidRPr="002832D5">
              <w:rPr>
                <w:lang w:val="fr-FR"/>
              </w:rPr>
              <w:t>.</w:t>
            </w:r>
            <w:r w:rsidRPr="008E7F36">
              <w:t xml:space="preserve"> 201</w:t>
            </w:r>
            <w:r>
              <w:t>1.</w:t>
            </w:r>
          </w:p>
        </w:tc>
      </w:tr>
      <w:tr w:rsidR="004F3762" w:rsidRPr="0041391B" w14:paraId="4B2FC9EA" w14:textId="77777777" w:rsidTr="008571CF">
        <w:tc>
          <w:tcPr>
            <w:tcW w:w="149" w:type="pct"/>
          </w:tcPr>
          <w:p w14:paraId="0FE82237" w14:textId="3F9A3753" w:rsidR="004F3762" w:rsidRPr="0041391B" w:rsidRDefault="00F560CF" w:rsidP="004F3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51" w:type="pct"/>
            <w:gridSpan w:val="8"/>
          </w:tcPr>
          <w:p w14:paraId="5775544C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67B641C2" w14:textId="77777777" w:rsidTr="008571CF">
        <w:tc>
          <w:tcPr>
            <w:tcW w:w="149" w:type="pct"/>
          </w:tcPr>
          <w:p w14:paraId="0361FBD7" w14:textId="04ACBB32" w:rsidR="004F3762" w:rsidRPr="0041391B" w:rsidRDefault="00F560CF" w:rsidP="004F3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51" w:type="pct"/>
            <w:gridSpan w:val="8"/>
          </w:tcPr>
          <w:p w14:paraId="610714CF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4F3762" w:rsidRPr="0041391B" w14:paraId="07F8DD27" w14:textId="77777777" w:rsidTr="008571CF">
        <w:tc>
          <w:tcPr>
            <w:tcW w:w="5000" w:type="pct"/>
            <w:gridSpan w:val="9"/>
          </w:tcPr>
          <w:p w14:paraId="49922DEE" w14:textId="2EE4162B" w:rsidR="004F3762" w:rsidRPr="0041391B" w:rsidRDefault="00F560CF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r w:rsidR="004F3762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Hasan TANRIVERDİ</w:t>
            </w:r>
          </w:p>
        </w:tc>
      </w:tr>
      <w:tr w:rsidR="004F3762" w:rsidRPr="0041391B" w14:paraId="3543A096" w14:textId="77777777" w:rsidTr="008571CF">
        <w:tc>
          <w:tcPr>
            <w:tcW w:w="5000" w:type="pct"/>
            <w:gridSpan w:val="9"/>
          </w:tcPr>
          <w:p w14:paraId="52197252" w14:textId="170E7220" w:rsidR="004F3762" w:rsidRPr="0041391B" w:rsidRDefault="00627301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Sait KAR</w:t>
            </w:r>
          </w:p>
        </w:tc>
      </w:tr>
      <w:tr w:rsidR="004F3762" w:rsidRPr="0041391B" w14:paraId="0BD29A28" w14:textId="77777777" w:rsidTr="008571CF">
        <w:tc>
          <w:tcPr>
            <w:tcW w:w="5000" w:type="pct"/>
            <w:gridSpan w:val="9"/>
          </w:tcPr>
          <w:p w14:paraId="773D7586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73A69492" w14:textId="77777777" w:rsidTr="008571CF">
        <w:tc>
          <w:tcPr>
            <w:tcW w:w="5000" w:type="pct"/>
            <w:gridSpan w:val="9"/>
          </w:tcPr>
          <w:p w14:paraId="621FA916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4B34141F" w14:textId="77777777" w:rsidTr="008571CF">
        <w:tc>
          <w:tcPr>
            <w:tcW w:w="5000" w:type="pct"/>
            <w:gridSpan w:val="9"/>
          </w:tcPr>
          <w:p w14:paraId="55C394E6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4F3762" w:rsidRPr="0041391B" w14:paraId="5D8BF914" w14:textId="77777777" w:rsidTr="008571CF">
        <w:tc>
          <w:tcPr>
            <w:tcW w:w="5000" w:type="pct"/>
            <w:gridSpan w:val="9"/>
          </w:tcPr>
          <w:p w14:paraId="3BE1B93C" w14:textId="642101FD" w:rsidR="004F3762" w:rsidRPr="0041391B" w:rsidRDefault="001821BC" w:rsidP="004F3762">
            <w:pPr>
              <w:rPr>
                <w:b/>
                <w:sz w:val="20"/>
                <w:szCs w:val="20"/>
              </w:rPr>
            </w:pPr>
            <w:r w:rsidRPr="00DD45C3">
              <w:rPr>
                <w:bCs/>
                <w:sz w:val="20"/>
                <w:szCs w:val="20"/>
              </w:rPr>
              <w:t>Ar. Gör.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560CF" w:rsidRPr="00F560CF">
              <w:rPr>
                <w:bCs/>
                <w:sz w:val="20"/>
                <w:szCs w:val="20"/>
              </w:rPr>
              <w:t xml:space="preserve">Nurullah </w:t>
            </w:r>
            <w:r w:rsidRPr="00F560CF">
              <w:rPr>
                <w:bCs/>
                <w:sz w:val="20"/>
                <w:szCs w:val="20"/>
              </w:rPr>
              <w:t>A</w:t>
            </w:r>
            <w:r w:rsidR="00F560CF" w:rsidRPr="00F560CF">
              <w:rPr>
                <w:bCs/>
                <w:sz w:val="20"/>
                <w:szCs w:val="20"/>
              </w:rPr>
              <w:t>YDIN</w:t>
            </w:r>
          </w:p>
        </w:tc>
      </w:tr>
      <w:tr w:rsidR="004F3762" w:rsidRPr="0041391B" w14:paraId="2ACA8E75" w14:textId="77777777" w:rsidTr="008571CF">
        <w:tc>
          <w:tcPr>
            <w:tcW w:w="5000" w:type="pct"/>
            <w:gridSpan w:val="9"/>
          </w:tcPr>
          <w:p w14:paraId="408433F8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  <w:tr w:rsidR="004F3762" w:rsidRPr="0041391B" w14:paraId="3AAC63CC" w14:textId="77777777" w:rsidTr="008571CF">
        <w:tc>
          <w:tcPr>
            <w:tcW w:w="5000" w:type="pct"/>
            <w:gridSpan w:val="9"/>
          </w:tcPr>
          <w:p w14:paraId="09AC8664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  <w:tr w:rsidR="004F3762" w:rsidRPr="0041391B" w14:paraId="257710D9" w14:textId="77777777" w:rsidTr="008571CF">
        <w:tc>
          <w:tcPr>
            <w:tcW w:w="5000" w:type="pct"/>
            <w:gridSpan w:val="9"/>
          </w:tcPr>
          <w:p w14:paraId="211E60DF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</w:tbl>
    <w:p w14:paraId="0409E11B" w14:textId="5F2B3736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99"/>
        <w:gridCol w:w="270"/>
        <w:gridCol w:w="1761"/>
        <w:gridCol w:w="476"/>
        <w:gridCol w:w="1750"/>
        <w:gridCol w:w="1842"/>
        <w:gridCol w:w="1177"/>
        <w:gridCol w:w="316"/>
        <w:gridCol w:w="68"/>
        <w:gridCol w:w="353"/>
        <w:gridCol w:w="55"/>
        <w:gridCol w:w="367"/>
        <w:gridCol w:w="15"/>
        <w:gridCol w:w="1921"/>
      </w:tblGrid>
      <w:tr w:rsidR="00DE0F3B" w:rsidRPr="0041391B" w14:paraId="7AC67C79" w14:textId="77777777" w:rsidTr="008571CF">
        <w:tc>
          <w:tcPr>
            <w:tcW w:w="5000" w:type="pct"/>
            <w:gridSpan w:val="15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AC783F" w:rsidRPr="0041391B" w14:paraId="708AE1FE" w14:textId="77777777" w:rsidTr="008571CF">
        <w:tc>
          <w:tcPr>
            <w:tcW w:w="399" w:type="pct"/>
            <w:gridSpan w:val="3"/>
            <w:shd w:val="clear" w:color="auto" w:fill="00D6D1"/>
          </w:tcPr>
          <w:p w14:paraId="2BA2274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01" w:type="pct"/>
            <w:gridSpan w:val="12"/>
          </w:tcPr>
          <w:p w14:paraId="06C9388B" w14:textId="6049A84D" w:rsidR="00AC783F" w:rsidRPr="0041391B" w:rsidRDefault="00C9290A" w:rsidP="00AC783F">
            <w:pPr>
              <w:rPr>
                <w:sz w:val="20"/>
                <w:szCs w:val="20"/>
              </w:rPr>
            </w:pPr>
            <w:r w:rsidRPr="0094611F">
              <w:t>Din Felsefesi</w:t>
            </w:r>
            <w:r>
              <w:t>nin</w:t>
            </w:r>
            <w:r w:rsidRPr="0094611F">
              <w:t xml:space="preserve"> </w:t>
            </w:r>
            <w:r w:rsidR="00AC783F" w:rsidRPr="00C3308A">
              <w:t>temel ilke ve kavramlarını çözümler.</w:t>
            </w:r>
          </w:p>
        </w:tc>
      </w:tr>
      <w:tr w:rsidR="00C9290A" w:rsidRPr="0041391B" w14:paraId="272878D0" w14:textId="77777777" w:rsidTr="008571CF">
        <w:tc>
          <w:tcPr>
            <w:tcW w:w="399" w:type="pct"/>
            <w:gridSpan w:val="3"/>
            <w:shd w:val="clear" w:color="auto" w:fill="00D6D1"/>
          </w:tcPr>
          <w:p w14:paraId="1B0CC1A4" w14:textId="77777777" w:rsidR="00C9290A" w:rsidRPr="0041391B" w:rsidRDefault="00C9290A" w:rsidP="00C9290A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01" w:type="pct"/>
            <w:gridSpan w:val="12"/>
          </w:tcPr>
          <w:p w14:paraId="536D6780" w14:textId="55E7D5E9" w:rsidR="00C9290A" w:rsidRPr="0041391B" w:rsidRDefault="00C9290A" w:rsidP="00C9290A">
            <w:pPr>
              <w:rPr>
                <w:sz w:val="20"/>
                <w:szCs w:val="20"/>
              </w:rPr>
            </w:pPr>
            <w:r>
              <w:t>F</w:t>
            </w:r>
            <w:r w:rsidRPr="00C9290A">
              <w:t>arklı inanışlar ve düşünceler arasında bağlantı kura</w:t>
            </w:r>
            <w:r>
              <w:t>r</w:t>
            </w:r>
            <w:r w:rsidRPr="00E25FEF">
              <w:t>.</w:t>
            </w:r>
          </w:p>
        </w:tc>
      </w:tr>
      <w:tr w:rsidR="00C9290A" w:rsidRPr="0041391B" w14:paraId="498B531A" w14:textId="77777777" w:rsidTr="008571CF">
        <w:tc>
          <w:tcPr>
            <w:tcW w:w="399" w:type="pct"/>
            <w:gridSpan w:val="3"/>
            <w:shd w:val="clear" w:color="auto" w:fill="00D6D1"/>
          </w:tcPr>
          <w:p w14:paraId="56AF78D6" w14:textId="77777777" w:rsidR="00C9290A" w:rsidRPr="0041391B" w:rsidRDefault="00C9290A" w:rsidP="00C9290A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01" w:type="pct"/>
            <w:gridSpan w:val="12"/>
          </w:tcPr>
          <w:p w14:paraId="24BB8934" w14:textId="6370754E" w:rsidR="00C9290A" w:rsidRPr="0041391B" w:rsidRDefault="00C9290A" w:rsidP="00C9290A">
            <w:pPr>
              <w:rPr>
                <w:sz w:val="20"/>
                <w:szCs w:val="20"/>
              </w:rPr>
            </w:pPr>
            <w:r w:rsidRPr="0094611F">
              <w:t xml:space="preserve">Günümüzdeki dinsel ve felsefi sorunlara eleştirel yaklaşımda bulunarak çözüm </w:t>
            </w:r>
            <w:r>
              <w:t>sunar.</w:t>
            </w:r>
          </w:p>
        </w:tc>
      </w:tr>
      <w:tr w:rsidR="00C9290A" w:rsidRPr="0041391B" w14:paraId="359AC705" w14:textId="77777777" w:rsidTr="008571CF">
        <w:tc>
          <w:tcPr>
            <w:tcW w:w="399" w:type="pct"/>
            <w:gridSpan w:val="3"/>
            <w:shd w:val="clear" w:color="auto" w:fill="00D6D1"/>
          </w:tcPr>
          <w:p w14:paraId="00FFE3AB" w14:textId="77777777" w:rsidR="00C9290A" w:rsidRPr="0041391B" w:rsidRDefault="00C9290A" w:rsidP="00C9290A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01" w:type="pct"/>
            <w:gridSpan w:val="12"/>
          </w:tcPr>
          <w:p w14:paraId="73CDB4B7" w14:textId="007EFCF9" w:rsidR="00C9290A" w:rsidRPr="0041391B" w:rsidRDefault="00C9290A" w:rsidP="00C9290A">
            <w:pPr>
              <w:rPr>
                <w:sz w:val="20"/>
                <w:szCs w:val="20"/>
              </w:rPr>
            </w:pPr>
            <w:r w:rsidRPr="0069021F">
              <w:t>Din Felsefesinin temel problemlerine</w:t>
            </w:r>
            <w:r>
              <w:t xml:space="preserve"> dair</w:t>
            </w:r>
            <w:r w:rsidRPr="0069021F">
              <w:t xml:space="preserve"> klasik ve modern düşü</w:t>
            </w:r>
            <w:r>
              <w:t>nürlerin yaklaşımları üzerine</w:t>
            </w:r>
            <w:r w:rsidRPr="00E25FEF">
              <w:t xml:space="preserve"> </w:t>
            </w:r>
            <w:r>
              <w:t>değerlendirmeler yapar.</w:t>
            </w:r>
          </w:p>
        </w:tc>
      </w:tr>
      <w:tr w:rsidR="00C9290A" w:rsidRPr="0041391B" w14:paraId="36605006" w14:textId="77777777" w:rsidTr="008571CF">
        <w:tc>
          <w:tcPr>
            <w:tcW w:w="399" w:type="pct"/>
            <w:gridSpan w:val="3"/>
            <w:shd w:val="clear" w:color="auto" w:fill="00D6D1"/>
          </w:tcPr>
          <w:p w14:paraId="0DD1D779" w14:textId="77777777" w:rsidR="00C9290A" w:rsidRPr="0041391B" w:rsidRDefault="00C9290A" w:rsidP="00C9290A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601" w:type="pct"/>
            <w:gridSpan w:val="12"/>
          </w:tcPr>
          <w:p w14:paraId="4643E977" w14:textId="12F4B9D3" w:rsidR="00C9290A" w:rsidRPr="0041391B" w:rsidRDefault="00C9290A" w:rsidP="00C9290A">
            <w:pPr>
              <w:rPr>
                <w:sz w:val="20"/>
                <w:szCs w:val="20"/>
              </w:rPr>
            </w:pPr>
            <w:r w:rsidRPr="0069021F">
              <w:t>Din Felsefesinin bireyin kişisel din anlayışının gelişimine olan etkisini fark eder.</w:t>
            </w:r>
          </w:p>
        </w:tc>
      </w:tr>
      <w:tr w:rsidR="00DE0F3B" w:rsidRPr="0041391B" w14:paraId="187A0501" w14:textId="77777777" w:rsidTr="008571CF">
        <w:tc>
          <w:tcPr>
            <w:tcW w:w="399" w:type="pct"/>
            <w:gridSpan w:val="3"/>
            <w:shd w:val="clear" w:color="auto" w:fill="00D6D1"/>
          </w:tcPr>
          <w:p w14:paraId="27EACF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ÖÇ-6</w:t>
            </w:r>
          </w:p>
        </w:tc>
        <w:tc>
          <w:tcPr>
            <w:tcW w:w="4601" w:type="pct"/>
            <w:gridSpan w:val="12"/>
          </w:tcPr>
          <w:p w14:paraId="761B82E8" w14:textId="6494015A" w:rsidR="000C490B" w:rsidRPr="0041391B" w:rsidRDefault="00C9290A" w:rsidP="00C9290A">
            <w:pPr>
              <w:rPr>
                <w:sz w:val="20"/>
                <w:szCs w:val="20"/>
              </w:rPr>
            </w:pPr>
            <w:r w:rsidRPr="00C9290A">
              <w:t>Din, bilim, sanat ve ahlak ilişkisine dair tartışmaları ve bunların hayattaki izdüşümlerini açıklar.</w:t>
            </w:r>
          </w:p>
        </w:tc>
      </w:tr>
      <w:tr w:rsidR="00E1713F" w:rsidRPr="0041391B" w14:paraId="2A4A3C51" w14:textId="77777777" w:rsidTr="008571CF">
        <w:tc>
          <w:tcPr>
            <w:tcW w:w="399" w:type="pct"/>
            <w:gridSpan w:val="3"/>
            <w:shd w:val="clear" w:color="auto" w:fill="00D6D1"/>
          </w:tcPr>
          <w:p w14:paraId="7264AE0F" w14:textId="77777777" w:rsidR="00E1713F" w:rsidRPr="0041391B" w:rsidRDefault="00E1713F" w:rsidP="00250125">
            <w:pPr>
              <w:rPr>
                <w:b/>
                <w:sz w:val="20"/>
                <w:szCs w:val="20"/>
              </w:rPr>
            </w:pPr>
          </w:p>
        </w:tc>
        <w:tc>
          <w:tcPr>
            <w:tcW w:w="4601" w:type="pct"/>
            <w:gridSpan w:val="12"/>
          </w:tcPr>
          <w:p w14:paraId="1B7673EE" w14:textId="77777777" w:rsidR="00E1713F" w:rsidRPr="00C9290A" w:rsidRDefault="00E1713F" w:rsidP="00C9290A"/>
        </w:tc>
      </w:tr>
      <w:tr w:rsidR="00DE0F3B" w:rsidRPr="0041391B" w14:paraId="62F6A476" w14:textId="77777777" w:rsidTr="008571CF">
        <w:tc>
          <w:tcPr>
            <w:tcW w:w="5000" w:type="pct"/>
            <w:gridSpan w:val="15"/>
            <w:shd w:val="clear" w:color="auto" w:fill="00C0BB"/>
          </w:tcPr>
          <w:p w14:paraId="1C1EC19F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HAFTALIK DERS İÇERİKLERİ</w:t>
            </w:r>
          </w:p>
        </w:tc>
      </w:tr>
      <w:tr w:rsidR="00DE0F3B" w:rsidRPr="0041391B" w14:paraId="1C49E2AB" w14:textId="77777777" w:rsidTr="008571CF">
        <w:trPr>
          <w:cantSplit/>
          <w:trHeight w:val="360"/>
        </w:trPr>
        <w:tc>
          <w:tcPr>
            <w:tcW w:w="231" w:type="pct"/>
            <w:vMerge w:val="restart"/>
            <w:shd w:val="clear" w:color="auto" w:fill="56D6D3"/>
            <w:textDirection w:val="btLr"/>
          </w:tcPr>
          <w:p w14:paraId="2B102972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970" w:type="pct"/>
            <w:gridSpan w:val="3"/>
            <w:vMerge w:val="restart"/>
            <w:shd w:val="clear" w:color="auto" w:fill="56D6D3"/>
            <w:vAlign w:val="center"/>
          </w:tcPr>
          <w:p w14:paraId="2612C771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389" w:type="pct"/>
            <w:gridSpan w:val="4"/>
            <w:vMerge w:val="restart"/>
            <w:shd w:val="clear" w:color="auto" w:fill="56D6D3"/>
            <w:vAlign w:val="center"/>
          </w:tcPr>
          <w:p w14:paraId="397A096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35" w:type="pct"/>
            <w:gridSpan w:val="6"/>
            <w:shd w:val="clear" w:color="auto" w:fill="56D6D3"/>
          </w:tcPr>
          <w:p w14:paraId="19C7759C" w14:textId="1BB280E2" w:rsidR="000D0AFB" w:rsidRPr="00D275D9" w:rsidRDefault="000D0AFB" w:rsidP="00D275D9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875" w:type="pct"/>
            <w:shd w:val="clear" w:color="auto" w:fill="56D6D3"/>
          </w:tcPr>
          <w:p w14:paraId="13F79633" w14:textId="746C631F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DE0F3B" w:rsidRPr="0041391B" w14:paraId="161ECB43" w14:textId="77777777" w:rsidTr="008571CF">
        <w:trPr>
          <w:cantSplit/>
          <w:trHeight w:val="1134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875" w:type="pct"/>
            <w:shd w:val="clear" w:color="auto" w:fill="56D6D3"/>
          </w:tcPr>
          <w:p w14:paraId="4B22EE5A" w14:textId="1C928281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062F" w:rsidRPr="0041391B" w14:paraId="7F4368FC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F0323E3" w14:textId="4EDB51B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68499E0" w14:textId="6F8DD4AA" w:rsidR="008B062F" w:rsidRPr="00DD5F37" w:rsidRDefault="00C9290A" w:rsidP="008B062F">
            <w:pPr>
              <w:rPr>
                <w:rFonts w:asciiTheme="majorBidi" w:hAnsiTheme="majorBidi" w:cstheme="majorBidi"/>
              </w:rPr>
            </w:pPr>
            <w:r w:rsidRPr="00061BBB">
              <w:rPr>
                <w:color w:val="0D0D0D" w:themeColor="text1" w:themeTint="F2"/>
              </w:rPr>
              <w:t>Ateizm</w:t>
            </w:r>
          </w:p>
        </w:tc>
        <w:tc>
          <w:tcPr>
            <w:tcW w:w="2389" w:type="pct"/>
            <w:gridSpan w:val="4"/>
          </w:tcPr>
          <w:p w14:paraId="480FFB1E" w14:textId="0B3B9FEE" w:rsidR="008B062F" w:rsidRPr="000D0AFB" w:rsidRDefault="00C9290A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 xml:space="preserve">Ateizm kavramını </w:t>
            </w:r>
            <w:r w:rsidR="008B062F" w:rsidRPr="004A3838">
              <w:t>açıklar.</w:t>
            </w:r>
          </w:p>
        </w:tc>
        <w:tc>
          <w:tcPr>
            <w:tcW w:w="175" w:type="pct"/>
            <w:gridSpan w:val="2"/>
            <w:vAlign w:val="center"/>
          </w:tcPr>
          <w:p w14:paraId="28219873" w14:textId="4FAB341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3F1CB089" w14:textId="769D805C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9C90974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211D61F3" w14:textId="0B0EE941" w:rsidR="008B062F" w:rsidRPr="008B062F" w:rsidRDefault="00D10D3D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</w:t>
            </w:r>
            <w:r w:rsidR="00C9290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(e</w:t>
            </w:r>
            <w:r w:rsidR="00C9290A">
              <w:rPr>
                <w:sz w:val="20"/>
                <w:szCs w:val="20"/>
              </w:rPr>
              <w:t>d. Kılıç</w:t>
            </w:r>
            <w:r w:rsidR="008B062F" w:rsidRPr="008B062F">
              <w:rPr>
                <w:sz w:val="20"/>
                <w:szCs w:val="20"/>
              </w:rPr>
              <w:t>,</w:t>
            </w:r>
            <w:r w:rsidR="00C9290A">
              <w:rPr>
                <w:sz w:val="20"/>
                <w:szCs w:val="20"/>
              </w:rPr>
              <w:t xml:space="preserve"> Reçber</w:t>
            </w:r>
            <w:r>
              <w:rPr>
                <w:sz w:val="20"/>
                <w:szCs w:val="20"/>
              </w:rPr>
              <w:t>)</w:t>
            </w:r>
            <w:r w:rsidR="00C9290A">
              <w:rPr>
                <w:sz w:val="20"/>
                <w:szCs w:val="20"/>
              </w:rPr>
              <w:t>,</w:t>
            </w:r>
            <w:r w:rsidR="008B062F" w:rsidRPr="008B062F">
              <w:rPr>
                <w:sz w:val="20"/>
                <w:szCs w:val="20"/>
              </w:rPr>
              <w:t xml:space="preserve"> 20</w:t>
            </w:r>
            <w:r w:rsidR="00C9290A">
              <w:rPr>
                <w:sz w:val="20"/>
                <w:szCs w:val="20"/>
              </w:rPr>
              <w:t>14</w:t>
            </w:r>
            <w:r w:rsidR="008B062F" w:rsidRPr="008B062F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57</w:t>
            </w:r>
            <w:r w:rsidR="008B062F" w:rsidRPr="008B06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176</w:t>
            </w:r>
          </w:p>
        </w:tc>
      </w:tr>
      <w:tr w:rsidR="008B062F" w:rsidRPr="0041391B" w14:paraId="03D7F9A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27A2DF4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6441C773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A8D7080" w14:textId="79B21CA5" w:rsidR="008B062F" w:rsidRPr="000D0AFB" w:rsidRDefault="00C9290A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Ateizmin temel argümanlarını açıklar.</w:t>
            </w:r>
          </w:p>
        </w:tc>
        <w:tc>
          <w:tcPr>
            <w:tcW w:w="175" w:type="pct"/>
            <w:gridSpan w:val="2"/>
            <w:vAlign w:val="center"/>
          </w:tcPr>
          <w:p w14:paraId="2F21C3A8" w14:textId="13523ACB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FE91E9A" w14:textId="1945E948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0564E9F0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D5BBFC0" w14:textId="7E0E4B1F" w:rsidR="008B062F" w:rsidRPr="008B062F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8B062F" w:rsidRPr="0041391B" w14:paraId="4A4424A2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5014319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C77CD75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B11BDE6" w14:textId="34DC82F5" w:rsidR="008B062F" w:rsidRPr="000D0AFB" w:rsidRDefault="00C9290A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 xml:space="preserve">Ateizmin çeşitleri, tarihsel süreci ve dayandığı gerekçeleri değerlendirir.  </w:t>
            </w:r>
          </w:p>
        </w:tc>
        <w:tc>
          <w:tcPr>
            <w:tcW w:w="175" w:type="pct"/>
            <w:gridSpan w:val="2"/>
            <w:vAlign w:val="center"/>
          </w:tcPr>
          <w:p w14:paraId="32AEE377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34BF2B9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1FB2D36D" w14:textId="3A2D3DA5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7A592DEF" w14:textId="4B0BD337" w:rsidR="008B062F" w:rsidRPr="008B062F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10D3D" w:rsidRPr="0041391B" w14:paraId="29E6B183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299D87B" w14:textId="7DE5527D" w:rsidR="00D10D3D" w:rsidRPr="0041391B" w:rsidRDefault="00D10D3D" w:rsidP="00D10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31297C3" w14:textId="6589BA39" w:rsidR="00D10D3D" w:rsidRPr="00DD5F37" w:rsidRDefault="00D10D3D" w:rsidP="00D10D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Ateizm</w:t>
            </w:r>
            <w:r w:rsidR="00DA2D1D">
              <w:t xml:space="preserve"> </w:t>
            </w:r>
            <w:r w:rsidR="00DA2D1D" w:rsidRPr="00DA2D1D">
              <w:rPr>
                <w:rFonts w:asciiTheme="majorBidi" w:hAnsiTheme="majorBidi" w:cstheme="majorBidi"/>
              </w:rPr>
              <w:t>probleminin mahiyeti</w:t>
            </w:r>
          </w:p>
        </w:tc>
        <w:tc>
          <w:tcPr>
            <w:tcW w:w="2389" w:type="pct"/>
            <w:gridSpan w:val="4"/>
          </w:tcPr>
          <w:p w14:paraId="6B54ECB4" w14:textId="0F3DC1FF" w:rsidR="00D10D3D" w:rsidRPr="000D0AFB" w:rsidRDefault="00D10D3D" w:rsidP="00D10D3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 xml:space="preserve">Pozitivizm ve Mantıksal Pozitivizm kavramını </w:t>
            </w:r>
            <w:r w:rsidRPr="004A3838">
              <w:t>açıklar.</w:t>
            </w:r>
          </w:p>
        </w:tc>
        <w:tc>
          <w:tcPr>
            <w:tcW w:w="175" w:type="pct"/>
            <w:gridSpan w:val="2"/>
            <w:vAlign w:val="center"/>
          </w:tcPr>
          <w:p w14:paraId="34099F91" w14:textId="3EB07BBF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03B3FFC" w14:textId="77777777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C129D3C" w14:textId="77777777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6126D5D8" w14:textId="47044E67" w:rsidR="00D10D3D" w:rsidRPr="008B062F" w:rsidRDefault="00D10D3D" w:rsidP="00D10D3D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Erdem, (ed. Kılıç</w:t>
            </w:r>
            <w:r w:rsidRPr="008B0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Reçber),</w:t>
            </w:r>
            <w:r w:rsidRPr="008B062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  <w:r w:rsidRPr="008B0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176-190</w:t>
            </w:r>
          </w:p>
        </w:tc>
      </w:tr>
      <w:tr w:rsidR="00D10D3D" w:rsidRPr="0041391B" w14:paraId="7418C7CE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234B39A" w14:textId="77777777" w:rsidR="00D10D3D" w:rsidRPr="0041391B" w:rsidRDefault="00D10D3D" w:rsidP="00D10D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0ADAD997" w14:textId="77777777" w:rsidR="00D10D3D" w:rsidRPr="00DD5F37" w:rsidRDefault="00D10D3D" w:rsidP="00D10D3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08DA23A4" w14:textId="75C3AF3E" w:rsidR="00D10D3D" w:rsidRPr="000D0AFB" w:rsidRDefault="00D10D3D" w:rsidP="00D10D3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Ahlaki ateizmin eleştirisini yapar.</w:t>
            </w:r>
          </w:p>
        </w:tc>
        <w:tc>
          <w:tcPr>
            <w:tcW w:w="175" w:type="pct"/>
            <w:gridSpan w:val="2"/>
            <w:vAlign w:val="center"/>
          </w:tcPr>
          <w:p w14:paraId="3395FD61" w14:textId="77777777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C2651ED" w14:textId="1388259B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0521A2DB" w14:textId="77777777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7671500C" w14:textId="77777777" w:rsidR="00D10D3D" w:rsidRPr="008B062F" w:rsidRDefault="00D10D3D" w:rsidP="00D10D3D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10D3D" w:rsidRPr="0041391B" w14:paraId="06ECB1F9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5B615F4" w14:textId="77777777" w:rsidR="00D10D3D" w:rsidRPr="0041391B" w:rsidRDefault="00D10D3D" w:rsidP="00D10D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5753609" w14:textId="77777777" w:rsidR="00D10D3D" w:rsidRPr="00DD5F37" w:rsidRDefault="00D10D3D" w:rsidP="00D10D3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5CA6F5F9" w14:textId="6328ACAF" w:rsidR="00D10D3D" w:rsidRPr="000D0AFB" w:rsidRDefault="00D10D3D" w:rsidP="00D10D3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 xml:space="preserve">Ateizmin çeşitleri, tarihsel süreci ve dayandığı gerekçeleri değerlendirir.  </w:t>
            </w:r>
          </w:p>
        </w:tc>
        <w:tc>
          <w:tcPr>
            <w:tcW w:w="175" w:type="pct"/>
            <w:gridSpan w:val="2"/>
            <w:vAlign w:val="center"/>
          </w:tcPr>
          <w:p w14:paraId="0C373138" w14:textId="77777777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C67EA11" w14:textId="77777777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98B54E8" w14:textId="69176F44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7145341A" w14:textId="77777777" w:rsidR="00D10D3D" w:rsidRPr="008B062F" w:rsidRDefault="00D10D3D" w:rsidP="00D10D3D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10D3D" w:rsidRPr="0041391B" w14:paraId="6F868D11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2D557D4" w14:textId="7E0DA056" w:rsidR="00D10D3D" w:rsidRPr="0041391B" w:rsidRDefault="00D10D3D" w:rsidP="00D10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6D9725FF" w14:textId="466BF29A" w:rsidR="00D10D3D" w:rsidRPr="00DD5F37" w:rsidRDefault="00D10D3D" w:rsidP="00D10D3D">
            <w:pPr>
              <w:rPr>
                <w:rFonts w:asciiTheme="majorBidi" w:hAnsiTheme="majorBidi" w:cstheme="majorBidi"/>
              </w:rPr>
            </w:pPr>
            <w:r>
              <w:t>Kötülük Sorunu</w:t>
            </w:r>
          </w:p>
        </w:tc>
        <w:tc>
          <w:tcPr>
            <w:tcW w:w="2389" w:type="pct"/>
            <w:gridSpan w:val="4"/>
          </w:tcPr>
          <w:p w14:paraId="5A999A80" w14:textId="2DD93766" w:rsidR="00D10D3D" w:rsidRPr="000D0AFB" w:rsidRDefault="00D10D3D" w:rsidP="00D10D3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2564F0">
              <w:t xml:space="preserve">Kötülük </w:t>
            </w:r>
            <w:r>
              <w:t xml:space="preserve">probleminin mantıksal ve kanıtsal modelini </w:t>
            </w:r>
            <w:r w:rsidRPr="002564F0">
              <w:t>açıklar.</w:t>
            </w:r>
          </w:p>
        </w:tc>
        <w:tc>
          <w:tcPr>
            <w:tcW w:w="175" w:type="pct"/>
            <w:gridSpan w:val="2"/>
            <w:vAlign w:val="center"/>
          </w:tcPr>
          <w:p w14:paraId="51C90BDF" w14:textId="7BC64705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28D94F04" w14:textId="77777777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3B92099" w14:textId="77777777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602466BF" w14:textId="4C9D1293" w:rsidR="00D10D3D" w:rsidRPr="008B062F" w:rsidRDefault="00D10D3D" w:rsidP="00D10D3D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Yasa, (ed. Kılıç</w:t>
            </w:r>
            <w:r w:rsidRPr="008B0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Reçber),</w:t>
            </w:r>
            <w:r w:rsidRPr="008B062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  <w:r w:rsidRPr="008B0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19</w:t>
            </w:r>
            <w:r w:rsidR="00DA2D1D">
              <w:rPr>
                <w:sz w:val="20"/>
                <w:szCs w:val="20"/>
              </w:rPr>
              <w:t>3-205</w:t>
            </w:r>
          </w:p>
        </w:tc>
      </w:tr>
      <w:tr w:rsidR="00D10D3D" w:rsidRPr="0041391B" w14:paraId="0936C423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7DEC3A8" w14:textId="77777777" w:rsidR="00D10D3D" w:rsidRPr="0041391B" w:rsidRDefault="00D10D3D" w:rsidP="00D10D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04CEE2" w14:textId="77777777" w:rsidR="00D10D3D" w:rsidRPr="00DD5F37" w:rsidRDefault="00D10D3D" w:rsidP="00D10D3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B819F8C" w14:textId="55810A8C" w:rsidR="00D10D3D" w:rsidRPr="000D0AFB" w:rsidRDefault="00D10D3D" w:rsidP="00D10D3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2564F0">
              <w:t xml:space="preserve">Kötülük </w:t>
            </w:r>
            <w:r>
              <w:t xml:space="preserve">probleminin </w:t>
            </w:r>
            <w:r w:rsidRPr="002564F0">
              <w:t xml:space="preserve">Tanrı </w:t>
            </w:r>
            <w:r>
              <w:t>ile olan ilişkisinin</w:t>
            </w:r>
            <w:r w:rsidRPr="002564F0">
              <w:t xml:space="preserve"> nasıl ku</w:t>
            </w:r>
            <w:r>
              <w:t xml:space="preserve">rulduğunu </w:t>
            </w:r>
            <w:r w:rsidRPr="002564F0">
              <w:t>açıklar ve buna yönelik değerlendirme yapar.</w:t>
            </w:r>
          </w:p>
        </w:tc>
        <w:tc>
          <w:tcPr>
            <w:tcW w:w="175" w:type="pct"/>
            <w:gridSpan w:val="2"/>
            <w:vAlign w:val="center"/>
          </w:tcPr>
          <w:p w14:paraId="46D2A9D5" w14:textId="77777777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ACA2068" w14:textId="527E8D40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749E8F5" w14:textId="5BFDBBC5" w:rsidR="00D10D3D" w:rsidRPr="000D0AFB" w:rsidRDefault="00D10D3D" w:rsidP="00D10D3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497ADB2A" w14:textId="77777777" w:rsidR="00D10D3D" w:rsidRPr="008B062F" w:rsidRDefault="00D10D3D" w:rsidP="00D10D3D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7001E79E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50F1915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F41EE1A" w14:textId="77777777" w:rsidR="00F16614" w:rsidRPr="00DD5F37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1F58537C" w14:textId="77777777" w:rsidR="00F16614" w:rsidRPr="000D0AFB" w:rsidRDefault="00F16614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1A876F3A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C2B9D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1616386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5033D868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A2D1D" w:rsidRPr="0041391B" w14:paraId="3647D0FD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C6BE384" w14:textId="31D0AC55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52042D2C" w14:textId="2AD1026C" w:rsidR="00DA2D1D" w:rsidRPr="00DD5F37" w:rsidRDefault="00DA2D1D" w:rsidP="00DA2D1D">
            <w:pPr>
              <w:rPr>
                <w:rFonts w:asciiTheme="majorBidi" w:hAnsiTheme="majorBidi" w:cstheme="majorBidi"/>
              </w:rPr>
            </w:pPr>
            <w:r>
              <w:t xml:space="preserve">Kötülük ve </w:t>
            </w:r>
            <w:proofErr w:type="spellStart"/>
            <w:r>
              <w:t>Teodise</w:t>
            </w:r>
            <w:proofErr w:type="spellEnd"/>
          </w:p>
        </w:tc>
        <w:tc>
          <w:tcPr>
            <w:tcW w:w="2389" w:type="pct"/>
            <w:gridSpan w:val="4"/>
          </w:tcPr>
          <w:p w14:paraId="0545D252" w14:textId="128FB2EE" w:rsidR="00DA2D1D" w:rsidRPr="000D0AFB" w:rsidRDefault="00DA2D1D" w:rsidP="00DA2D1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197523">
              <w:t xml:space="preserve">Kötülük </w:t>
            </w:r>
            <w:r>
              <w:t>probleminin çözümüne ilişkin öneriler sunar.</w:t>
            </w:r>
          </w:p>
        </w:tc>
        <w:tc>
          <w:tcPr>
            <w:tcW w:w="175" w:type="pct"/>
            <w:gridSpan w:val="2"/>
            <w:vAlign w:val="center"/>
          </w:tcPr>
          <w:p w14:paraId="62A24564" w14:textId="047D632A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064CF09D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0B75DFF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259DEADC" w14:textId="3560DAB4" w:rsidR="00DA2D1D" w:rsidRPr="008B062F" w:rsidRDefault="00DA2D1D" w:rsidP="00DA2D1D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Yasa, (ed. Kılıç</w:t>
            </w:r>
            <w:r w:rsidRPr="008B0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Reçber),</w:t>
            </w:r>
            <w:r w:rsidRPr="008B062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  <w:r w:rsidRPr="008B0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205-215</w:t>
            </w:r>
          </w:p>
        </w:tc>
      </w:tr>
      <w:tr w:rsidR="00DA2D1D" w:rsidRPr="0041391B" w14:paraId="6241439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C29564B" w14:textId="77777777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E07A06" w14:textId="77777777" w:rsidR="00DA2D1D" w:rsidRPr="004C5D52" w:rsidRDefault="00DA2D1D" w:rsidP="00DA2D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6B61EE8" w14:textId="682C4195" w:rsidR="00DA2D1D" w:rsidRPr="000D0AFB" w:rsidRDefault="00DA2D1D" w:rsidP="00DA2D1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197523">
              <w:t>Kötülük sorununun farklı Tanrı tasavvurları aleyhine nasıl kullanıldığını açıklar</w:t>
            </w:r>
            <w:r>
              <w:t>.</w:t>
            </w:r>
          </w:p>
        </w:tc>
        <w:tc>
          <w:tcPr>
            <w:tcW w:w="175" w:type="pct"/>
            <w:gridSpan w:val="2"/>
            <w:vAlign w:val="center"/>
          </w:tcPr>
          <w:p w14:paraId="03CC8540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2088FE" w14:textId="2A6A70E9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3346092" w14:textId="507A59CF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3B69BB3F" w14:textId="77777777" w:rsidR="00DA2D1D" w:rsidRPr="008B062F" w:rsidRDefault="00DA2D1D" w:rsidP="00DA2D1D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A2D1D" w:rsidRPr="0041391B" w14:paraId="41004B04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67B5D721" w14:textId="77777777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60B0207" w14:textId="77777777" w:rsidR="00DA2D1D" w:rsidRPr="004C5D52" w:rsidRDefault="00DA2D1D" w:rsidP="00DA2D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2F5995BE" w14:textId="77777777" w:rsidR="00DA2D1D" w:rsidRPr="000D0AFB" w:rsidRDefault="00DA2D1D" w:rsidP="00DA2D1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1AD273A4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6AB1759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CAB70B9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18103650" w14:textId="77777777" w:rsidR="00DA2D1D" w:rsidRPr="008B062F" w:rsidRDefault="00DA2D1D" w:rsidP="00DA2D1D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A2D1D" w:rsidRPr="0041391B" w14:paraId="05FCF397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516A85E" w14:textId="3EB35D5B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7145DAC3" w14:textId="6AAC0253" w:rsidR="00DA2D1D" w:rsidRPr="004C5D52" w:rsidRDefault="00DA2D1D" w:rsidP="00DA2D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Vahiy</w:t>
            </w:r>
          </w:p>
        </w:tc>
        <w:tc>
          <w:tcPr>
            <w:tcW w:w="2389" w:type="pct"/>
            <w:gridSpan w:val="4"/>
          </w:tcPr>
          <w:p w14:paraId="1FE66905" w14:textId="5561B855" w:rsidR="00DA2D1D" w:rsidRPr="00963042" w:rsidRDefault="00963042" w:rsidP="00963042">
            <w:pPr>
              <w:widowControl/>
              <w:autoSpaceDE/>
              <w:autoSpaceDN/>
              <w:ind w:right="27"/>
              <w:contextualSpacing/>
            </w:pPr>
            <w:r w:rsidRPr="0094611F">
              <w:t xml:space="preserve">Farklı vahiy anlayışlarını </w:t>
            </w:r>
            <w:r>
              <w:t>açıklar</w:t>
            </w:r>
            <w:r w:rsidRPr="0094611F">
              <w:t>.</w:t>
            </w:r>
          </w:p>
        </w:tc>
        <w:tc>
          <w:tcPr>
            <w:tcW w:w="175" w:type="pct"/>
            <w:gridSpan w:val="2"/>
            <w:vAlign w:val="center"/>
          </w:tcPr>
          <w:p w14:paraId="6557BA28" w14:textId="42CF73B0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18D8C76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E527557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1C6C68CB" w14:textId="3BFB984B" w:rsidR="00DA2D1D" w:rsidRPr="008B062F" w:rsidRDefault="00963042" w:rsidP="00DA2D1D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Kılıç, (ed. Kılıç</w:t>
            </w:r>
            <w:r w:rsidRPr="008B0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Reçber),</w:t>
            </w:r>
            <w:r w:rsidRPr="008B062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  <w:r w:rsidRPr="008B0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217-238</w:t>
            </w:r>
          </w:p>
        </w:tc>
      </w:tr>
      <w:tr w:rsidR="00DA2D1D" w:rsidRPr="0041391B" w14:paraId="19851B28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5419920A" w14:textId="77777777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4046D96" w14:textId="77777777" w:rsidR="00DA2D1D" w:rsidRPr="004C5D52" w:rsidRDefault="00DA2D1D" w:rsidP="00DA2D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68ECF92B" w14:textId="1E0ECE21" w:rsidR="00DA2D1D" w:rsidRPr="00963042" w:rsidRDefault="00963042" w:rsidP="00963042">
            <w:pPr>
              <w:widowControl/>
              <w:autoSpaceDE/>
              <w:autoSpaceDN/>
              <w:ind w:right="27"/>
              <w:contextualSpacing/>
            </w:pPr>
            <w:r w:rsidRPr="0094611F">
              <w:t>Vah</w:t>
            </w:r>
            <w:r>
              <w:t xml:space="preserve">yin temellendirilmesine </w:t>
            </w:r>
            <w:r w:rsidRPr="002564F0">
              <w:t>yönelik değerlendirme yapar.</w:t>
            </w:r>
          </w:p>
        </w:tc>
        <w:tc>
          <w:tcPr>
            <w:tcW w:w="175" w:type="pct"/>
            <w:gridSpan w:val="2"/>
            <w:vAlign w:val="center"/>
          </w:tcPr>
          <w:p w14:paraId="661FD331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6DF5E035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CA73031" w14:textId="2B95F0D2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04F080AD" w14:textId="77777777" w:rsidR="00DA2D1D" w:rsidRPr="008B062F" w:rsidRDefault="00DA2D1D" w:rsidP="00DA2D1D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A2D1D" w:rsidRPr="0041391B" w14:paraId="752F26F0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2F24F724" w14:textId="77777777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829DE45" w14:textId="77777777" w:rsidR="00DA2D1D" w:rsidRPr="004C5D52" w:rsidRDefault="00DA2D1D" w:rsidP="00DA2D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940CDC4" w14:textId="77777777" w:rsidR="00DA2D1D" w:rsidRPr="000D0AFB" w:rsidRDefault="00DA2D1D" w:rsidP="00DA2D1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0622A3BC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79F01A5E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B307566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5D14773C" w14:textId="77777777" w:rsidR="00DA2D1D" w:rsidRPr="008B062F" w:rsidRDefault="00DA2D1D" w:rsidP="00DA2D1D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A2D1D" w:rsidRPr="0041391B" w14:paraId="2C295807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BB39E4C" w14:textId="6AFE425F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64CCB79A" w14:textId="15C20447" w:rsidR="00DA2D1D" w:rsidRPr="004C5D52" w:rsidRDefault="00963042" w:rsidP="00DA2D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Mucize</w:t>
            </w:r>
          </w:p>
        </w:tc>
        <w:tc>
          <w:tcPr>
            <w:tcW w:w="2389" w:type="pct"/>
            <w:gridSpan w:val="4"/>
          </w:tcPr>
          <w:p w14:paraId="1CAC81AA" w14:textId="572C3DDD" w:rsidR="00DA2D1D" w:rsidRPr="000D0AFB" w:rsidRDefault="00DA2D1D" w:rsidP="00DA2D1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C85795">
              <w:t>Ergenlik döneminin bilişsel gelişim ve kimlik oluşumu süreçlerini tanımlar.</w:t>
            </w:r>
          </w:p>
        </w:tc>
        <w:tc>
          <w:tcPr>
            <w:tcW w:w="175" w:type="pct"/>
            <w:gridSpan w:val="2"/>
            <w:vAlign w:val="center"/>
          </w:tcPr>
          <w:p w14:paraId="20F70DC2" w14:textId="690280E0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40D78B64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80B52D9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5576084D" w14:textId="4E78669B" w:rsidR="00DA2D1D" w:rsidRPr="008B062F" w:rsidRDefault="00963042" w:rsidP="00DA2D1D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Kılıç, (ed. Kılıç</w:t>
            </w:r>
            <w:r w:rsidRPr="008B0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Reçber),</w:t>
            </w:r>
            <w:r w:rsidRPr="008B062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  <w:r w:rsidRPr="008B0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</w:t>
            </w:r>
            <w:r w:rsidR="00E1713F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-25</w:t>
            </w:r>
            <w:r w:rsidR="00E1713F">
              <w:rPr>
                <w:sz w:val="20"/>
                <w:szCs w:val="20"/>
              </w:rPr>
              <w:t>3</w:t>
            </w:r>
          </w:p>
        </w:tc>
      </w:tr>
      <w:tr w:rsidR="00DA2D1D" w:rsidRPr="0041391B" w14:paraId="1A714349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922C727" w14:textId="77777777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63F0F5D" w14:textId="77777777" w:rsidR="00DA2D1D" w:rsidRPr="004C5D52" w:rsidRDefault="00DA2D1D" w:rsidP="00DA2D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C3D47B7" w14:textId="574E32BB" w:rsidR="00DA2D1D" w:rsidRPr="000D0AFB" w:rsidRDefault="00DA2D1D" w:rsidP="00DA2D1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C85795">
              <w:t>Bu dönemdeki öğrenciler için etkili rehberlik yaklaşımları geliştirir.</w:t>
            </w:r>
          </w:p>
        </w:tc>
        <w:tc>
          <w:tcPr>
            <w:tcW w:w="175" w:type="pct"/>
            <w:gridSpan w:val="2"/>
            <w:vAlign w:val="center"/>
          </w:tcPr>
          <w:p w14:paraId="65F504A8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03C07E52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ABAC8BD" w14:textId="2016ED8A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3AB3AFEF" w14:textId="77777777" w:rsidR="00DA2D1D" w:rsidRPr="008B062F" w:rsidRDefault="00DA2D1D" w:rsidP="00DA2D1D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A2D1D" w:rsidRPr="0041391B" w14:paraId="449B4F2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62F0ABC" w14:textId="77777777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5BB7F26" w14:textId="77777777" w:rsidR="00DA2D1D" w:rsidRPr="004C5D52" w:rsidRDefault="00DA2D1D" w:rsidP="00DA2D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1509BF22" w14:textId="77777777" w:rsidR="00DA2D1D" w:rsidRPr="000D0AFB" w:rsidRDefault="00DA2D1D" w:rsidP="00DA2D1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31F6252A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AFC7D5F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362796E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03D95B97" w14:textId="77777777" w:rsidR="00DA2D1D" w:rsidRPr="008B062F" w:rsidRDefault="00DA2D1D" w:rsidP="00DA2D1D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A2D1D" w:rsidRPr="0041391B" w14:paraId="701C1DAB" w14:textId="77777777" w:rsidTr="008B062F">
        <w:trPr>
          <w:cantSplit/>
          <w:trHeight w:val="20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15394858" w14:textId="77777777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1990706" w14:textId="77777777" w:rsidR="00DA2D1D" w:rsidRPr="004C5D52" w:rsidRDefault="00DA2D1D" w:rsidP="00DA2D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  <w:tcBorders>
              <w:bottom w:val="single" w:sz="4" w:space="0" w:color="auto"/>
            </w:tcBorders>
          </w:tcPr>
          <w:p w14:paraId="76AF4DB7" w14:textId="77777777" w:rsidR="00DA2D1D" w:rsidRPr="000D0AFB" w:rsidRDefault="00DA2D1D" w:rsidP="00DA2D1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vAlign w:val="center"/>
          </w:tcPr>
          <w:p w14:paraId="3E454BD5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vAlign w:val="center"/>
          </w:tcPr>
          <w:p w14:paraId="037B0904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vAlign w:val="center"/>
          </w:tcPr>
          <w:p w14:paraId="2215A1BE" w14:textId="77777777" w:rsidR="00DA2D1D" w:rsidRPr="000D0AFB" w:rsidRDefault="00DA2D1D" w:rsidP="00DA2D1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  <w:vAlign w:val="center"/>
          </w:tcPr>
          <w:p w14:paraId="32EAADD9" w14:textId="77777777" w:rsidR="00DA2D1D" w:rsidRPr="008B062F" w:rsidRDefault="00DA2D1D" w:rsidP="00DA2D1D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E1713F" w:rsidRPr="0041391B" w14:paraId="211E43C4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CF8B6F0" w14:textId="73E9A365" w:rsidR="00E1713F" w:rsidRPr="0041391B" w:rsidRDefault="00E1713F" w:rsidP="00E171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0C8EDB7A" w14:textId="3042823B" w:rsidR="00E1713F" w:rsidRPr="004C5D52" w:rsidRDefault="00B0455F" w:rsidP="00E171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Din Dili</w:t>
            </w:r>
          </w:p>
        </w:tc>
        <w:tc>
          <w:tcPr>
            <w:tcW w:w="2389" w:type="pct"/>
            <w:gridSpan w:val="4"/>
          </w:tcPr>
          <w:p w14:paraId="5F8689F8" w14:textId="2346315A" w:rsidR="00E1713F" w:rsidRPr="001C5AE0" w:rsidRDefault="001C5AE0" w:rsidP="00E1713F">
            <w:pPr>
              <w:widowControl/>
              <w:autoSpaceDE/>
              <w:autoSpaceDN/>
              <w:contextualSpacing/>
            </w:pPr>
            <w:r w:rsidRPr="001C5AE0">
              <w:t>Doğrulama ve Yanlışlama ilkesini açıklar</w:t>
            </w:r>
          </w:p>
        </w:tc>
        <w:tc>
          <w:tcPr>
            <w:tcW w:w="175" w:type="pct"/>
            <w:gridSpan w:val="2"/>
            <w:vAlign w:val="center"/>
          </w:tcPr>
          <w:p w14:paraId="4767E734" w14:textId="384974D7" w:rsidR="00E1713F" w:rsidRPr="000D0AFB" w:rsidRDefault="00E1713F" w:rsidP="00E1713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81D963F" w14:textId="77777777" w:rsidR="00E1713F" w:rsidRPr="000D0AFB" w:rsidRDefault="00E1713F" w:rsidP="00E1713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219DF5B" w14:textId="77777777" w:rsidR="00E1713F" w:rsidRPr="000D0AFB" w:rsidRDefault="00E1713F" w:rsidP="00E1713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559A7242" w14:textId="10507A1A" w:rsidR="00E1713F" w:rsidRPr="008B062F" w:rsidRDefault="00E1713F" w:rsidP="00E1713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Yavuz, (ed. Kılıç</w:t>
            </w:r>
            <w:r w:rsidRPr="008B0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Reçber),</w:t>
            </w:r>
            <w:r w:rsidRPr="008B062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  <w:r w:rsidRPr="008B0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255-2</w:t>
            </w:r>
            <w:r w:rsidR="001C5AE0">
              <w:rPr>
                <w:sz w:val="20"/>
                <w:szCs w:val="20"/>
              </w:rPr>
              <w:t>70</w:t>
            </w:r>
          </w:p>
        </w:tc>
      </w:tr>
      <w:tr w:rsidR="00E1713F" w:rsidRPr="0041391B" w14:paraId="47E4637F" w14:textId="77777777" w:rsidTr="00B107E3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211A7E5C" w14:textId="77777777" w:rsidR="00E1713F" w:rsidRPr="0041391B" w:rsidRDefault="00E1713F" w:rsidP="00E171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06E6631" w14:textId="77777777" w:rsidR="00E1713F" w:rsidRPr="0041391B" w:rsidRDefault="00E1713F" w:rsidP="00E1713F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76532650" w14:textId="4BF908A0" w:rsidR="00E1713F" w:rsidRPr="000D0AFB" w:rsidRDefault="00E1713F" w:rsidP="00E1713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BA53FB">
              <w:t xml:space="preserve">Dini </w:t>
            </w:r>
            <w:r>
              <w:t xml:space="preserve">yorum </w:t>
            </w:r>
            <w:r w:rsidRPr="00BA53FB">
              <w:t>farklılıklarının kaynağı ile ilgili değerlendir</w:t>
            </w:r>
            <w:r>
              <w:t>me yapar</w:t>
            </w:r>
            <w:r w:rsidRPr="00BA53FB">
              <w:t>.</w:t>
            </w:r>
          </w:p>
        </w:tc>
        <w:tc>
          <w:tcPr>
            <w:tcW w:w="175" w:type="pct"/>
            <w:gridSpan w:val="2"/>
            <w:vAlign w:val="center"/>
          </w:tcPr>
          <w:p w14:paraId="6EF1B3F6" w14:textId="77777777" w:rsidR="00E1713F" w:rsidRPr="000D0AFB" w:rsidRDefault="00E1713F" w:rsidP="00E1713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991C998" w14:textId="42BD1454" w:rsidR="00E1713F" w:rsidRPr="000D0AFB" w:rsidRDefault="00E1713F" w:rsidP="00E1713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8EFB557" w14:textId="6AC1AFB6" w:rsidR="00E1713F" w:rsidRPr="000D0AFB" w:rsidRDefault="00DD45C3" w:rsidP="00E1713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</w:tcPr>
          <w:p w14:paraId="1F0CC4BE" w14:textId="77777777" w:rsidR="00E1713F" w:rsidRPr="0041391B" w:rsidRDefault="00E1713F" w:rsidP="00E1713F">
            <w:pPr>
              <w:jc w:val="center"/>
              <w:rPr>
                <w:sz w:val="20"/>
                <w:szCs w:val="20"/>
              </w:rPr>
            </w:pPr>
          </w:p>
        </w:tc>
      </w:tr>
      <w:tr w:rsidR="00DA2D1D" w:rsidRPr="0041391B" w14:paraId="09A0BCA5" w14:textId="77777777" w:rsidTr="008571CF">
        <w:trPr>
          <w:cantSplit/>
          <w:trHeight w:val="685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9" w:type="pct"/>
            <w:gridSpan w:val="14"/>
            <w:tcBorders>
              <w:bottom w:val="single" w:sz="4" w:space="0" w:color="auto"/>
            </w:tcBorders>
            <w:shd w:val="clear" w:color="auto" w:fill="56D6D3"/>
          </w:tcPr>
          <w:p w14:paraId="70FF4774" w14:textId="77777777" w:rsidR="00DA2D1D" w:rsidRPr="0041391B" w:rsidRDefault="00DA2D1D" w:rsidP="00DA2D1D">
            <w:pPr>
              <w:ind w:right="-113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Ara Sınav Haftası</w:t>
            </w:r>
          </w:p>
          <w:p w14:paraId="4CDB06CD" w14:textId="7EB64676" w:rsidR="00DA2D1D" w:rsidRPr="00567F55" w:rsidRDefault="00DA2D1D" w:rsidP="00DA2D1D">
            <w:pPr>
              <w:widowControl/>
              <w:autoSpaceDE/>
              <w:autoSpaceDN/>
              <w:ind w:right="-113"/>
              <w:contextualSpacing/>
              <w:rPr>
                <w:sz w:val="20"/>
                <w:szCs w:val="20"/>
              </w:rPr>
            </w:pPr>
            <w:r w:rsidRPr="00567F55">
              <w:rPr>
                <w:sz w:val="20"/>
                <w:szCs w:val="20"/>
              </w:rPr>
              <w:t>Ara sınav; ilk 7 hafta işlenen konuları ve hedefleri kapsayacak şekilde hazırlanacak, geçerli ve güvenilir ölçme araçlarıyla gerçekleştirilecektir.</w:t>
            </w:r>
          </w:p>
        </w:tc>
      </w:tr>
      <w:tr w:rsidR="00DA2D1D" w:rsidRPr="0041391B" w14:paraId="3CB3351F" w14:textId="0719CCF1" w:rsidTr="00D01F65">
        <w:trPr>
          <w:cantSplit/>
          <w:trHeight w:val="153"/>
        </w:trPr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0BDF67B2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 sınav değerlendirilmesi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244622D1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Sınav 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44EB16C8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Ödev %</w:t>
            </w:r>
          </w:p>
        </w:tc>
        <w:tc>
          <w:tcPr>
            <w:tcW w:w="19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3F1DE977" w:rsidR="00DA2D1D" w:rsidRPr="0041391B" w:rsidRDefault="00DA2D1D" w:rsidP="00DA2D1D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Oranlar, ders sorumlusu öğretim elemanı tarafından belirlen</w:t>
            </w:r>
            <w:r>
              <w:rPr>
                <w:sz w:val="20"/>
                <w:szCs w:val="20"/>
              </w:rPr>
              <w:t>erek yandaki tabloya işlenir.</w:t>
            </w:r>
          </w:p>
        </w:tc>
      </w:tr>
      <w:tr w:rsidR="00DA2D1D" w:rsidRPr="0041391B" w14:paraId="468FDD1C" w14:textId="259F8249" w:rsidTr="00D01F65">
        <w:trPr>
          <w:cantSplit/>
          <w:trHeight w:val="224"/>
        </w:trPr>
        <w:tc>
          <w:tcPr>
            <w:tcW w:w="2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DA2D1D" w:rsidRDefault="00DA2D1D" w:rsidP="00DA2D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347260A8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DA2D1D" w:rsidRPr="0041391B" w:rsidRDefault="00DA2D1D" w:rsidP="00DA2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6" w:type="pct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DA2D1D" w:rsidRPr="0041391B" w:rsidRDefault="00DA2D1D" w:rsidP="00DA2D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5C3" w:rsidRPr="0041391B" w14:paraId="1A8C17C4" w14:textId="77777777" w:rsidTr="00C6483C">
        <w:trPr>
          <w:cantSplit/>
          <w:trHeight w:val="322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4E51EA33" w14:textId="6C4D7916" w:rsidR="00DD45C3" w:rsidRPr="0041391B" w:rsidRDefault="00DD45C3" w:rsidP="00DD45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7928E3B" w14:textId="42E8BC87" w:rsidR="00DD45C3" w:rsidRPr="00DD45C3" w:rsidRDefault="001C5AE0" w:rsidP="00DD45C3">
            <w:r>
              <w:t>Teşbihi, Tenzihi ve Analojik Dil</w:t>
            </w:r>
          </w:p>
        </w:tc>
        <w:tc>
          <w:tcPr>
            <w:tcW w:w="2389" w:type="pct"/>
            <w:gridSpan w:val="4"/>
          </w:tcPr>
          <w:p w14:paraId="0C672FE6" w14:textId="3DE80B9F" w:rsidR="00DD45C3" w:rsidRPr="000D0AFB" w:rsidRDefault="001C5AE0" w:rsidP="00DD45C3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BA53FB">
              <w:t>Din</w:t>
            </w:r>
            <w:r>
              <w:t xml:space="preserve"> dilinin mahiyetine ilişkin </w:t>
            </w:r>
            <w:r w:rsidRPr="00BA53FB">
              <w:t>teorileri açıklar</w:t>
            </w:r>
          </w:p>
        </w:tc>
        <w:tc>
          <w:tcPr>
            <w:tcW w:w="144" w:type="pct"/>
            <w:vAlign w:val="center"/>
          </w:tcPr>
          <w:p w14:paraId="6DA54273" w14:textId="7D49B3A5" w:rsidR="00DD45C3" w:rsidRPr="000D0AFB" w:rsidRDefault="00DD45C3" w:rsidP="00DD45C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77F322F2" w14:textId="77777777" w:rsidR="00DD45C3" w:rsidRPr="000D0AFB" w:rsidRDefault="00DD45C3" w:rsidP="00DD45C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59090C7" w14:textId="77777777" w:rsidR="00DD45C3" w:rsidRPr="000D0AFB" w:rsidRDefault="00DD45C3" w:rsidP="00DD45C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60F0DAA" w14:textId="3CEBC72E" w:rsidR="00DD45C3" w:rsidRPr="002C2FAB" w:rsidRDefault="001C5AE0" w:rsidP="00DD45C3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Yavuz, (ed. Kılıç</w:t>
            </w:r>
            <w:r w:rsidRPr="008B0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Reçber),</w:t>
            </w:r>
            <w:r w:rsidRPr="008B062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  <w:r w:rsidRPr="008B0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270-287</w:t>
            </w:r>
          </w:p>
        </w:tc>
      </w:tr>
      <w:tr w:rsidR="00DD45C3" w:rsidRPr="0041391B" w14:paraId="61028886" w14:textId="77777777" w:rsidTr="00C6483C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0B7867FD" w14:textId="77777777" w:rsidR="00DD45C3" w:rsidRPr="0041391B" w:rsidRDefault="00DD45C3" w:rsidP="00DD45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53A07B7" w14:textId="77777777" w:rsidR="00DD45C3" w:rsidRPr="0041391B" w:rsidRDefault="00DD45C3" w:rsidP="00DD45C3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E46B0CD" w14:textId="4F7DB526" w:rsidR="00DD45C3" w:rsidRPr="000D0AFB" w:rsidRDefault="001C5AE0" w:rsidP="00DD45C3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Teşbihi, tenzihi ve analojik dilin farklılıklarını kavrar.</w:t>
            </w:r>
          </w:p>
        </w:tc>
        <w:tc>
          <w:tcPr>
            <w:tcW w:w="144" w:type="pct"/>
            <w:vAlign w:val="center"/>
          </w:tcPr>
          <w:p w14:paraId="38F98097" w14:textId="77777777" w:rsidR="00DD45C3" w:rsidRPr="000D0AFB" w:rsidRDefault="00DD45C3" w:rsidP="00DD45C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C6EBB5" w14:textId="0F7DC4AB" w:rsidR="00DD45C3" w:rsidRPr="000D0AFB" w:rsidRDefault="00DD45C3" w:rsidP="00DD45C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84D6A34" w14:textId="77777777" w:rsidR="00DD45C3" w:rsidRPr="000D0AFB" w:rsidRDefault="00DD45C3" w:rsidP="00DD45C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3CF01280" w14:textId="77777777" w:rsidR="00DD45C3" w:rsidRPr="002C2FAB" w:rsidRDefault="00DD45C3" w:rsidP="00DD45C3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DD45C3" w:rsidRPr="0041391B" w14:paraId="126D8921" w14:textId="77777777" w:rsidTr="00C6483C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23C6CEE1" w14:textId="77777777" w:rsidR="00DD45C3" w:rsidRPr="0041391B" w:rsidRDefault="00DD45C3" w:rsidP="00DD45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1CFB59B8" w14:textId="77777777" w:rsidR="00DD45C3" w:rsidRPr="0041391B" w:rsidRDefault="00DD45C3" w:rsidP="00DD45C3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71ADA25C" w14:textId="0B4EC5BE" w:rsidR="00DD45C3" w:rsidRPr="000D0AFB" w:rsidRDefault="00DD45C3" w:rsidP="00DD45C3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2D3A9E4E" w14:textId="77777777" w:rsidR="00DD45C3" w:rsidRPr="000D0AFB" w:rsidRDefault="00DD45C3" w:rsidP="00DD45C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CD7EBFB" w14:textId="77777777" w:rsidR="00DD45C3" w:rsidRPr="000D0AFB" w:rsidRDefault="00DD45C3" w:rsidP="00DD45C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284C743" w14:textId="249B59E8" w:rsidR="00DD45C3" w:rsidRPr="000D0AFB" w:rsidRDefault="00DD45C3" w:rsidP="00DD45C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ADD2F53" w14:textId="77777777" w:rsidR="00DD45C3" w:rsidRPr="002C2FAB" w:rsidRDefault="00DD45C3" w:rsidP="00DD45C3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24714575" w14:textId="77777777" w:rsidTr="003B294C">
        <w:trPr>
          <w:cantSplit/>
          <w:trHeight w:val="38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0D87CEFF" w14:textId="470E5DDD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E1CB5A0" w14:textId="7906BB63" w:rsidR="001C5AE0" w:rsidRPr="0041391B" w:rsidRDefault="001C5AE0" w:rsidP="001C5AE0">
            <w:pPr>
              <w:rPr>
                <w:sz w:val="20"/>
                <w:szCs w:val="20"/>
              </w:rPr>
            </w:pPr>
            <w:r>
              <w:t>Dini çeşitlilik</w:t>
            </w:r>
          </w:p>
        </w:tc>
        <w:tc>
          <w:tcPr>
            <w:tcW w:w="2389" w:type="pct"/>
            <w:gridSpan w:val="4"/>
          </w:tcPr>
          <w:p w14:paraId="1E707C51" w14:textId="4F3171B0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F9211E">
              <w:t>Dini çeşitliliğ</w:t>
            </w:r>
            <w:r>
              <w:t>in</w:t>
            </w:r>
            <w:r w:rsidRPr="00F9211E">
              <w:t xml:space="preserve"> </w:t>
            </w:r>
            <w:r>
              <w:t>neye delalet ettiğini açıklar</w:t>
            </w:r>
            <w:r w:rsidRPr="00F9211E">
              <w:t>.</w:t>
            </w:r>
          </w:p>
        </w:tc>
        <w:tc>
          <w:tcPr>
            <w:tcW w:w="144" w:type="pct"/>
            <w:vAlign w:val="center"/>
          </w:tcPr>
          <w:p w14:paraId="5C5DE3F3" w14:textId="15ED6841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</w:tc>
        <w:tc>
          <w:tcPr>
            <w:tcW w:w="192" w:type="pct"/>
            <w:gridSpan w:val="2"/>
            <w:vAlign w:val="center"/>
          </w:tcPr>
          <w:p w14:paraId="18FEC7C8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14309B8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03D884F4" w14:textId="16E8620C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Acar, (ed. Kılıç</w:t>
            </w:r>
            <w:r w:rsidRPr="008B0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Reçber),</w:t>
            </w:r>
            <w:r w:rsidRPr="008B062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  <w:r w:rsidRPr="008B0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289-303</w:t>
            </w:r>
          </w:p>
        </w:tc>
      </w:tr>
      <w:tr w:rsidR="001C5AE0" w:rsidRPr="0041391B" w14:paraId="03C0E81B" w14:textId="77777777" w:rsidTr="003B294C">
        <w:trPr>
          <w:cantSplit/>
          <w:trHeight w:val="397"/>
        </w:trPr>
        <w:tc>
          <w:tcPr>
            <w:tcW w:w="231" w:type="pct"/>
            <w:vMerge/>
            <w:shd w:val="clear" w:color="auto" w:fill="56D6D3"/>
            <w:vAlign w:val="center"/>
          </w:tcPr>
          <w:p w14:paraId="28825D0D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C38711C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0C5815E8" w14:textId="36E34A13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F9211E">
              <w:t>Dinlerin bir arada yaşama formülleri hakkında değerlendirmelerde bulunur.</w:t>
            </w:r>
          </w:p>
        </w:tc>
        <w:tc>
          <w:tcPr>
            <w:tcW w:w="144" w:type="pct"/>
            <w:vAlign w:val="center"/>
          </w:tcPr>
          <w:p w14:paraId="2A4D0F21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94A3CC4" w14:textId="11632ECC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600A103E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D1E055E" w14:textId="7777777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7710CD5F" w14:textId="77777777" w:rsidTr="003B294C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09FD9E2D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A9E349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4D815789" w14:textId="489D8C46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871890">
              <w:t xml:space="preserve">Farklı dini geleneklerde dışlayıcı </w:t>
            </w:r>
            <w:r>
              <w:t xml:space="preserve">ve kapsayıcı </w:t>
            </w:r>
            <w:r w:rsidRPr="00871890">
              <w:t xml:space="preserve">yaklaşımları </w:t>
            </w:r>
            <w:r>
              <w:t xml:space="preserve">karşılaştırıp </w:t>
            </w:r>
            <w:r w:rsidRPr="00871890">
              <w:t>değerlendirir.</w:t>
            </w:r>
          </w:p>
        </w:tc>
        <w:tc>
          <w:tcPr>
            <w:tcW w:w="144" w:type="pct"/>
            <w:vAlign w:val="center"/>
          </w:tcPr>
          <w:p w14:paraId="760811CF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EA039BF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3D41E7D" w14:textId="1EA9BA7F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0BA293E7" w14:textId="7777777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426254F4" w14:textId="77777777" w:rsidTr="00FF2B86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5376B6B6" w14:textId="29AC7D89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0C4C3618" w14:textId="1EDA56CD" w:rsidR="001C5AE0" w:rsidRPr="0041391B" w:rsidRDefault="001C5AE0" w:rsidP="001C5AE0">
            <w:pPr>
              <w:rPr>
                <w:sz w:val="20"/>
                <w:szCs w:val="20"/>
              </w:rPr>
            </w:pPr>
            <w:r>
              <w:t>Dini Çoğulculuk</w:t>
            </w:r>
          </w:p>
        </w:tc>
        <w:tc>
          <w:tcPr>
            <w:tcW w:w="2389" w:type="pct"/>
            <w:gridSpan w:val="4"/>
          </w:tcPr>
          <w:p w14:paraId="62C3DF41" w14:textId="0188A9A8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871890">
              <w:t>Dini çeşitliliğe dair farklı yaklaşımları açıklar.</w:t>
            </w:r>
          </w:p>
        </w:tc>
        <w:tc>
          <w:tcPr>
            <w:tcW w:w="144" w:type="pct"/>
            <w:vAlign w:val="center"/>
          </w:tcPr>
          <w:p w14:paraId="0F58A4B9" w14:textId="6A056B8F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6B3F418" w14:textId="10F6E03E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0A820F9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D05CBA5" w14:textId="442B087C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Acar, (ed. Kılıç</w:t>
            </w:r>
            <w:r w:rsidRPr="008B0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Reçber),</w:t>
            </w:r>
            <w:r w:rsidRPr="008B062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  <w:r w:rsidRPr="008B0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303-318</w:t>
            </w:r>
          </w:p>
        </w:tc>
      </w:tr>
      <w:tr w:rsidR="001C5AE0" w:rsidRPr="0041391B" w14:paraId="65C79C57" w14:textId="77777777" w:rsidTr="00FF2B86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161F094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55732BC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6D422F62" w14:textId="72E14667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871890">
              <w:t>Farklı dini geleneklerde çoğulcu yaklaşımları değerlendirir.</w:t>
            </w:r>
          </w:p>
        </w:tc>
        <w:tc>
          <w:tcPr>
            <w:tcW w:w="144" w:type="pct"/>
            <w:vAlign w:val="center"/>
          </w:tcPr>
          <w:p w14:paraId="1F20C1AF" w14:textId="67A71C55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6B30C73" w14:textId="6CFC4043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DF16241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10534696" w14:textId="7777777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0E9582A8" w14:textId="77777777" w:rsidTr="00FF2B86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3B0E2C4E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9C66F06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C9E05FB" w14:textId="4756DC59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871890">
              <w:t>Dinlerin bir arada yaşama formülleri hakkında değerlendirmelerde bulunur.</w:t>
            </w:r>
          </w:p>
        </w:tc>
        <w:tc>
          <w:tcPr>
            <w:tcW w:w="144" w:type="pct"/>
            <w:vAlign w:val="center"/>
          </w:tcPr>
          <w:p w14:paraId="15584EFE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7DB33D2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F5FFF6B" w14:textId="243A3916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10D676BA" w14:textId="7777777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7A2B080D" w14:textId="77777777" w:rsidTr="00182451">
        <w:trPr>
          <w:cantSplit/>
          <w:trHeight w:val="284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C375F99" w14:textId="1FD250F4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35B707D" w14:textId="6E4533F7" w:rsidR="001C5AE0" w:rsidRPr="0041391B" w:rsidRDefault="001C5AE0" w:rsidP="001C5AE0">
            <w:pPr>
              <w:rPr>
                <w:sz w:val="20"/>
                <w:szCs w:val="20"/>
              </w:rPr>
            </w:pPr>
            <w:r>
              <w:t>Ölüm ve Ölümsüzlük</w:t>
            </w:r>
          </w:p>
        </w:tc>
        <w:tc>
          <w:tcPr>
            <w:tcW w:w="2389" w:type="pct"/>
            <w:gridSpan w:val="4"/>
            <w:vAlign w:val="center"/>
          </w:tcPr>
          <w:p w14:paraId="05F7214A" w14:textId="5E6303C3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896D9B">
              <w:t>Ölüm ve ölümsüzlük konusundaki felsefi teoriler</w:t>
            </w:r>
            <w:r>
              <w:t xml:space="preserve"> hakkında değerlendirmelerde bulunur.</w:t>
            </w:r>
          </w:p>
        </w:tc>
        <w:tc>
          <w:tcPr>
            <w:tcW w:w="144" w:type="pct"/>
            <w:vAlign w:val="center"/>
          </w:tcPr>
          <w:p w14:paraId="74C4B7FF" w14:textId="5D2ECE24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9D3A09B" w14:textId="5B2608DC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06C5349A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67FA6B3" w14:textId="724A4E05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Akbaş, (ed. Kılıç</w:t>
            </w:r>
            <w:r w:rsidRPr="008B0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Reçber),</w:t>
            </w:r>
            <w:r w:rsidRPr="008B062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  <w:r w:rsidRPr="008B0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319-341</w:t>
            </w:r>
          </w:p>
        </w:tc>
      </w:tr>
      <w:tr w:rsidR="001C5AE0" w:rsidRPr="0041391B" w14:paraId="55F356EB" w14:textId="77777777" w:rsidTr="00182451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FE0D18F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ED43816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E78755D" w14:textId="17944721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Ruh-beden ilişkisini açıklar</w:t>
            </w:r>
            <w:r w:rsidRPr="00965CBF">
              <w:t>.</w:t>
            </w:r>
          </w:p>
        </w:tc>
        <w:tc>
          <w:tcPr>
            <w:tcW w:w="144" w:type="pct"/>
            <w:vAlign w:val="center"/>
          </w:tcPr>
          <w:p w14:paraId="2E3B54AA" w14:textId="4B74DE53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52BDC78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EB5B1D8" w14:textId="5D81E473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4B74ABE5" w14:textId="7777777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24BC92F6" w14:textId="77777777" w:rsidTr="009C370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35A5055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AC8BA59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1A1D0B5" w14:textId="46FDBAEF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27D08AA5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6639C15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66797B0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3F330E68" w14:textId="7777777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75E46A3A" w14:textId="77777777" w:rsidTr="009C370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715E9F69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6167A40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75CD3E0" w14:textId="30DFB00C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7F38FE0E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75C71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622308C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08AD2801" w14:textId="7777777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244C1790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3986D95" w14:textId="2CCF1B71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9B0F340" w14:textId="7BC7DAFC" w:rsidR="001C5AE0" w:rsidRPr="0041391B" w:rsidRDefault="001C5AE0" w:rsidP="001C5AE0">
            <w:pPr>
              <w:rPr>
                <w:sz w:val="20"/>
                <w:szCs w:val="20"/>
              </w:rPr>
            </w:pPr>
            <w:r>
              <w:t xml:space="preserve"> </w:t>
            </w:r>
            <w:r w:rsidRPr="00D57C29">
              <w:t>Din ve Ahlak İlişkisi</w:t>
            </w:r>
          </w:p>
        </w:tc>
        <w:tc>
          <w:tcPr>
            <w:tcW w:w="2389" w:type="pct"/>
            <w:gridSpan w:val="4"/>
          </w:tcPr>
          <w:p w14:paraId="5470BD7C" w14:textId="28C0746A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57C29">
              <w:t>Din ve ahlak ilişkisine dair teorileri özetler.</w:t>
            </w:r>
          </w:p>
        </w:tc>
        <w:tc>
          <w:tcPr>
            <w:tcW w:w="144" w:type="pct"/>
            <w:vAlign w:val="center"/>
          </w:tcPr>
          <w:p w14:paraId="042212B8" w14:textId="4B9AB278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A34DA10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9E5AA6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7E086D0A" w14:textId="1C1CA4A5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Kılıç, (ed. Kılıç</w:t>
            </w:r>
            <w:r w:rsidRPr="008B0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Reçber),</w:t>
            </w:r>
            <w:r w:rsidRPr="008B062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  <w:r w:rsidRPr="008B0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343-365</w:t>
            </w:r>
          </w:p>
        </w:tc>
      </w:tr>
      <w:tr w:rsidR="001C5AE0" w:rsidRPr="0041391B" w14:paraId="7B350A4A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1630BDC4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6ECC27F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3EE681E" w14:textId="7A3EC37F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57C29">
              <w:t>Farklı dinlerin ve bir din içinde farklı teorilerin nedenleri hakkında değerlendirme yapar.</w:t>
            </w:r>
          </w:p>
        </w:tc>
        <w:tc>
          <w:tcPr>
            <w:tcW w:w="144" w:type="pct"/>
            <w:vAlign w:val="center"/>
          </w:tcPr>
          <w:p w14:paraId="0C1D028B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FF75873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F091854" w14:textId="08BD8EDF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7AF74593" w14:textId="7777777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57DD328B" w14:textId="77777777" w:rsidTr="004C5497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3CD8BCAF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CB4C88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4F43D7C5" w14:textId="54DED9CB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D57C29">
              <w:t>Çağdaş ahlak sorunları üzerine çözüm önerileri verir.</w:t>
            </w:r>
          </w:p>
        </w:tc>
        <w:tc>
          <w:tcPr>
            <w:tcW w:w="144" w:type="pct"/>
            <w:vAlign w:val="center"/>
          </w:tcPr>
          <w:p w14:paraId="78B97CA6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EEFF592" w14:textId="572B658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6ACD940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401745CA" w14:textId="7777777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6EE70401" w14:textId="77777777" w:rsidTr="004C5497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5BE8E85E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1127513E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C646B00" w14:textId="67E8D024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2369B0AD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8AB8FE0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8BB5299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255CA9B3" w14:textId="7777777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701730EF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B31F47A" w14:textId="2EBF7ED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67CEF4B" w14:textId="70AB0D5F" w:rsidR="001C5AE0" w:rsidRPr="0041391B" w:rsidRDefault="001C5AE0" w:rsidP="001C5AE0">
            <w:pPr>
              <w:rPr>
                <w:sz w:val="20"/>
                <w:szCs w:val="20"/>
              </w:rPr>
            </w:pPr>
            <w:r>
              <w:t xml:space="preserve"> Din ve Bilim İlişkisi</w:t>
            </w:r>
          </w:p>
        </w:tc>
        <w:tc>
          <w:tcPr>
            <w:tcW w:w="2389" w:type="pct"/>
            <w:gridSpan w:val="4"/>
          </w:tcPr>
          <w:p w14:paraId="41F4FD91" w14:textId="49D7B79E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185DA1">
              <w:t>Din ve bilim arasındaki ilişkiye dair teorileri açıklar.</w:t>
            </w:r>
          </w:p>
        </w:tc>
        <w:tc>
          <w:tcPr>
            <w:tcW w:w="144" w:type="pct"/>
            <w:vAlign w:val="center"/>
          </w:tcPr>
          <w:p w14:paraId="6EB07E09" w14:textId="033840B2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03E021B9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A72D3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1C93E079" w14:textId="20EDE65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Yavuz, (ed. Kılıç</w:t>
            </w:r>
            <w:r w:rsidRPr="008B0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Reçber),</w:t>
            </w:r>
            <w:r w:rsidRPr="008B062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  <w:r w:rsidRPr="008B0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367-389</w:t>
            </w:r>
          </w:p>
        </w:tc>
      </w:tr>
      <w:tr w:rsidR="001C5AE0" w:rsidRPr="0041391B" w14:paraId="46B3ABAC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4BD3CC1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AD0A2BD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0FFF258" w14:textId="73ABFF16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185DA1">
              <w:t>Farklı dinlerin din-bilim ilişkisine dair yaklaşımlarını karşılaştırarak değerlendirir.</w:t>
            </w:r>
          </w:p>
        </w:tc>
        <w:tc>
          <w:tcPr>
            <w:tcW w:w="144" w:type="pct"/>
            <w:vAlign w:val="center"/>
          </w:tcPr>
          <w:p w14:paraId="1600F0F7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D28E2C9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491158E" w14:textId="20169B59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2CF4CEF1" w14:textId="7777777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19EA7992" w14:textId="77777777" w:rsidTr="002C2FA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5CDC132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1798197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5D6D6362" w14:textId="77777777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488A853C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5263873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6504B9A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17112C8" w14:textId="7777777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397D0EC7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534693B4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59D4D09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EA13AA6" w14:textId="77777777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5A53A6C1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3119A5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4B1BF7C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220BCB25" w14:textId="7777777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C5AE0" w:rsidRPr="0041391B" w14:paraId="27718F64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35A67AC9" w14:textId="29ACFB3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EC146D0" w14:textId="1C37C986" w:rsidR="001C5AE0" w:rsidRPr="0041391B" w:rsidRDefault="001C5AE0" w:rsidP="001C5AE0">
            <w:pPr>
              <w:rPr>
                <w:sz w:val="20"/>
                <w:szCs w:val="20"/>
              </w:rPr>
            </w:pPr>
            <w:r>
              <w:t xml:space="preserve">Din ve Sanat İlişkisi </w:t>
            </w:r>
          </w:p>
        </w:tc>
        <w:tc>
          <w:tcPr>
            <w:tcW w:w="2389" w:type="pct"/>
            <w:gridSpan w:val="4"/>
          </w:tcPr>
          <w:p w14:paraId="67C67293" w14:textId="49551A40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Dini hayatın estetik boyutunu kavrar</w:t>
            </w:r>
            <w:r w:rsidRPr="00AB4924">
              <w:t>.</w:t>
            </w:r>
          </w:p>
        </w:tc>
        <w:tc>
          <w:tcPr>
            <w:tcW w:w="144" w:type="pct"/>
            <w:vAlign w:val="center"/>
          </w:tcPr>
          <w:p w14:paraId="43266983" w14:textId="7DE830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3AAA6F3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4D38262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313DB5BB" w14:textId="2497C9C7" w:rsidR="001C5AE0" w:rsidRPr="002C2FAB" w:rsidRDefault="001C5AE0" w:rsidP="001C5AE0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Işık, (ed. Kılıç</w:t>
            </w:r>
            <w:r w:rsidRPr="008B0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Reçber),</w:t>
            </w:r>
            <w:r w:rsidRPr="008B062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  <w:r w:rsidRPr="008B0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391-419</w:t>
            </w:r>
          </w:p>
        </w:tc>
      </w:tr>
      <w:tr w:rsidR="001C5AE0" w:rsidRPr="0041391B" w14:paraId="66CDAFD9" w14:textId="77777777" w:rsidTr="00582BDF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A96BB9B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3A7FFB4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F09606D" w14:textId="60DCD394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İslam dini ile İslam sanatı arasındaki ilişkiyi açıklar</w:t>
            </w:r>
            <w:r w:rsidRPr="00AB4924">
              <w:t>.</w:t>
            </w:r>
          </w:p>
        </w:tc>
        <w:tc>
          <w:tcPr>
            <w:tcW w:w="144" w:type="pct"/>
            <w:vAlign w:val="center"/>
          </w:tcPr>
          <w:p w14:paraId="15C50CBE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3869204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1C9C77C0" w14:textId="4F9842E2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</w:tcPr>
          <w:p w14:paraId="39AAC17D" w14:textId="77777777" w:rsidR="001C5AE0" w:rsidRPr="0041391B" w:rsidRDefault="001C5AE0" w:rsidP="001C5AE0">
            <w:pPr>
              <w:jc w:val="center"/>
              <w:rPr>
                <w:sz w:val="20"/>
                <w:szCs w:val="20"/>
              </w:rPr>
            </w:pPr>
          </w:p>
        </w:tc>
      </w:tr>
      <w:tr w:rsidR="001C5AE0" w:rsidRPr="0041391B" w14:paraId="18D7680E" w14:textId="77777777" w:rsidTr="00D031CD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BE0170F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5EE1849F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CA9B071" w14:textId="77777777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64E28902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1AF0723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12B1BBC2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477CC67C" w14:textId="77777777" w:rsidR="001C5AE0" w:rsidRPr="0041391B" w:rsidRDefault="001C5AE0" w:rsidP="001C5AE0">
            <w:pPr>
              <w:jc w:val="center"/>
              <w:rPr>
                <w:sz w:val="20"/>
                <w:szCs w:val="20"/>
              </w:rPr>
            </w:pPr>
          </w:p>
        </w:tc>
      </w:tr>
      <w:tr w:rsidR="001C5AE0" w:rsidRPr="0041391B" w14:paraId="39DE36CE" w14:textId="77777777" w:rsidTr="00D031CD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1ABF8EDF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41D8B3D0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177123F" w14:textId="77777777" w:rsidR="001C5AE0" w:rsidRPr="000D0AFB" w:rsidRDefault="001C5AE0" w:rsidP="001C5AE0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4003D301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DC29837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D56616D" w14:textId="77777777" w:rsidR="001C5AE0" w:rsidRPr="000D0AFB" w:rsidRDefault="001C5AE0" w:rsidP="001C5AE0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55E47EB8" w14:textId="77777777" w:rsidR="001C5AE0" w:rsidRPr="0041391B" w:rsidRDefault="001C5AE0" w:rsidP="001C5AE0">
            <w:pPr>
              <w:jc w:val="center"/>
              <w:rPr>
                <w:sz w:val="20"/>
                <w:szCs w:val="20"/>
              </w:rPr>
            </w:pPr>
          </w:p>
        </w:tc>
      </w:tr>
      <w:tr w:rsidR="001C5AE0" w:rsidRPr="0041391B" w14:paraId="4E874421" w14:textId="77777777" w:rsidTr="008571CF">
        <w:trPr>
          <w:cantSplit/>
          <w:trHeight w:val="751"/>
        </w:trPr>
        <w:tc>
          <w:tcPr>
            <w:tcW w:w="276" w:type="pct"/>
            <w:gridSpan w:val="2"/>
            <w:shd w:val="clear" w:color="auto" w:fill="56D6D3"/>
            <w:vAlign w:val="center"/>
          </w:tcPr>
          <w:p w14:paraId="66E45446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56D6D3"/>
          </w:tcPr>
          <w:p w14:paraId="6081DEA4" w14:textId="77777777" w:rsidR="001C5AE0" w:rsidRPr="0041391B" w:rsidRDefault="001C5AE0" w:rsidP="001C5AE0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Yarıyıl Sonu Sınavı Haftası</w:t>
            </w:r>
          </w:p>
          <w:p w14:paraId="714711EA" w14:textId="77777777" w:rsidR="001C5AE0" w:rsidRPr="0041391B" w:rsidRDefault="001C5AE0" w:rsidP="001C5AE0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  <w:tr w:rsidR="001C5AE0" w:rsidRPr="0041391B" w14:paraId="7D2B7B5B" w14:textId="77777777" w:rsidTr="008571CF">
        <w:trPr>
          <w:cantSplit/>
          <w:trHeight w:val="1134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27EC8863" w14:textId="77777777" w:rsidR="001C5AE0" w:rsidRPr="0041391B" w:rsidRDefault="001C5AE0" w:rsidP="001C5A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BBEFEE"/>
          </w:tcPr>
          <w:p w14:paraId="7816438D" w14:textId="7645B071" w:rsidR="001C5AE0" w:rsidRPr="0041391B" w:rsidRDefault="001C5AE0" w:rsidP="001C5AE0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Öğrenci Sorumlulukları ve Ödevler</w:t>
            </w:r>
          </w:p>
          <w:p w14:paraId="092A73B5" w14:textId="77777777" w:rsidR="001C5AE0" w:rsidRPr="0041391B" w:rsidRDefault="001C5AE0" w:rsidP="001C5AE0">
            <w:pPr>
              <w:rPr>
                <w:b/>
                <w:sz w:val="20"/>
                <w:szCs w:val="20"/>
              </w:rPr>
            </w:pPr>
          </w:p>
          <w:p w14:paraId="3CA5A76B" w14:textId="77777777" w:rsidR="001C5AE0" w:rsidRPr="0041391B" w:rsidRDefault="001C5AE0" w:rsidP="001C5AE0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3A148458" w14:textId="77777777" w:rsidR="001C5AE0" w:rsidRPr="0041391B" w:rsidRDefault="001C5AE0" w:rsidP="001C5AE0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179" w:hanging="218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Her konuyla ilgili ilave kaynaklarda yer alan yayınların bireysel olarak araştırılması.</w:t>
            </w:r>
          </w:p>
          <w:p w14:paraId="402600F4" w14:textId="77777777" w:rsidR="001C5AE0" w:rsidRPr="0041391B" w:rsidRDefault="001C5AE0" w:rsidP="001C5AE0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179" w:hanging="218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Öğrencilerin aktif katılım sağlamaları için ilgili haftanın konusuna ilişkin kaynakları okuması.</w:t>
            </w:r>
          </w:p>
          <w:p w14:paraId="0CFF7A71" w14:textId="77777777" w:rsidR="001C5AE0" w:rsidRPr="0041391B" w:rsidRDefault="001C5AE0" w:rsidP="001C5AE0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179" w:hanging="218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devama ilişkin sınırın aşılmaması.</w:t>
            </w:r>
          </w:p>
          <w:p w14:paraId="400906CF" w14:textId="77777777" w:rsidR="001C5AE0" w:rsidRPr="0041391B" w:rsidRDefault="001C5AE0" w:rsidP="001C5AE0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179" w:hanging="218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Dersin hedeflerinin gerçekleşme düzeyine ilişkin ders sorumlusu öğretim elemanına geri bildirimlerde bulunması.</w:t>
            </w:r>
          </w:p>
          <w:p w14:paraId="683A2331" w14:textId="77777777" w:rsidR="001C5AE0" w:rsidRDefault="001C5AE0" w:rsidP="001C5AE0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720F4DCF" w14:textId="77777777" w:rsidR="001C5AE0" w:rsidRPr="0041391B" w:rsidRDefault="001C5AE0" w:rsidP="001C5AE0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1964EBB7" w14:textId="77777777" w:rsidR="001C5AE0" w:rsidRPr="0041391B" w:rsidRDefault="001C5AE0" w:rsidP="001C5AE0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Ödevler</w:t>
            </w:r>
          </w:p>
          <w:p w14:paraId="4FB387F2" w14:textId="77777777" w:rsidR="001C5AE0" w:rsidRPr="0041391B" w:rsidRDefault="001C5AE0" w:rsidP="001C5AE0">
            <w:pPr>
              <w:jc w:val="center"/>
              <w:rPr>
                <w:b/>
                <w:sz w:val="20"/>
                <w:szCs w:val="20"/>
              </w:rPr>
            </w:pPr>
          </w:p>
          <w:p w14:paraId="35733F28" w14:textId="77777777" w:rsidR="001C5AE0" w:rsidRPr="0041391B" w:rsidRDefault="001C5AE0" w:rsidP="001C5AE0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Konusu:</w:t>
            </w:r>
          </w:p>
          <w:p w14:paraId="214ABF1E" w14:textId="77777777" w:rsidR="001C5AE0" w:rsidRPr="0041391B" w:rsidRDefault="001C5AE0" w:rsidP="001C5AE0">
            <w:pPr>
              <w:rPr>
                <w:b/>
                <w:sz w:val="20"/>
                <w:szCs w:val="20"/>
              </w:rPr>
            </w:pPr>
          </w:p>
          <w:p w14:paraId="4B92B6B8" w14:textId="77777777" w:rsidR="001C5AE0" w:rsidRPr="0041391B" w:rsidRDefault="001C5AE0" w:rsidP="001C5AE0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Açıklama: </w:t>
            </w:r>
          </w:p>
          <w:p w14:paraId="56787BFF" w14:textId="77777777" w:rsidR="001C5AE0" w:rsidRPr="0041391B" w:rsidRDefault="001C5AE0" w:rsidP="001C5AE0">
            <w:pPr>
              <w:rPr>
                <w:sz w:val="20"/>
                <w:szCs w:val="20"/>
              </w:rPr>
            </w:pPr>
          </w:p>
          <w:p w14:paraId="6739C698" w14:textId="77777777" w:rsidR="001C5AE0" w:rsidRPr="00076540" w:rsidRDefault="001C5AE0" w:rsidP="001C5AE0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 xml:space="preserve">Son Teslim Tarihi: </w:t>
            </w:r>
          </w:p>
          <w:p w14:paraId="298482D3" w14:textId="77777777" w:rsidR="001C5AE0" w:rsidRDefault="001C5AE0" w:rsidP="001C5AE0">
            <w:pPr>
              <w:rPr>
                <w:sz w:val="20"/>
                <w:szCs w:val="20"/>
              </w:rPr>
            </w:pPr>
          </w:p>
          <w:p w14:paraId="441496CB" w14:textId="0116A628" w:rsidR="001C5AE0" w:rsidRPr="00076540" w:rsidRDefault="001C5AE0" w:rsidP="001C5AE0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>Yarıyıl İçi Değerlendirmeye Katkısı</w:t>
            </w:r>
            <w:r>
              <w:rPr>
                <w:b/>
                <w:sz w:val="20"/>
                <w:szCs w:val="20"/>
              </w:rPr>
              <w:t xml:space="preserve"> (%)</w:t>
            </w:r>
            <w:r w:rsidRPr="00076540">
              <w:rPr>
                <w:b/>
                <w:sz w:val="20"/>
                <w:szCs w:val="20"/>
              </w:rPr>
              <w:t xml:space="preserve">: </w:t>
            </w:r>
          </w:p>
          <w:p w14:paraId="3838FC15" w14:textId="77777777" w:rsidR="001C5AE0" w:rsidRPr="0041391B" w:rsidRDefault="001C5AE0" w:rsidP="001C5AE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E94E23" w14:textId="77777777" w:rsidR="00F16614" w:rsidRPr="0041391B" w:rsidRDefault="00F16614" w:rsidP="00F16614">
      <w:pPr>
        <w:rPr>
          <w:sz w:val="20"/>
          <w:szCs w:val="20"/>
        </w:rPr>
      </w:pPr>
    </w:p>
    <w:p w14:paraId="0876585A" w14:textId="18FED94B" w:rsidR="000C490B" w:rsidRPr="0041391B" w:rsidRDefault="000C490B" w:rsidP="00487C4C">
      <w:pPr>
        <w:rPr>
          <w:sz w:val="20"/>
          <w:szCs w:val="20"/>
        </w:rPr>
      </w:pPr>
    </w:p>
    <w:p w14:paraId="03E2CFFE" w14:textId="39A3F82C" w:rsidR="00250B07" w:rsidRDefault="00250B0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748C5F" w14:textId="77777777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01"/>
        <w:gridCol w:w="670"/>
        <w:gridCol w:w="1795"/>
        <w:gridCol w:w="1642"/>
        <w:gridCol w:w="830"/>
        <w:gridCol w:w="2758"/>
      </w:tblGrid>
      <w:tr w:rsidR="000C490B" w:rsidRPr="0041391B" w14:paraId="1E30F3D1" w14:textId="77777777" w:rsidTr="000C490B">
        <w:tc>
          <w:tcPr>
            <w:tcW w:w="5000" w:type="pct"/>
            <w:gridSpan w:val="6"/>
            <w:shd w:val="clear" w:color="auto" w:fill="00C0BB"/>
          </w:tcPr>
          <w:p w14:paraId="3634AF2C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6A8B2B32" w14:textId="77777777" w:rsidTr="000C490B">
        <w:tc>
          <w:tcPr>
            <w:tcW w:w="1834" w:type="pct"/>
            <w:gridSpan w:val="2"/>
            <w:shd w:val="clear" w:color="auto" w:fill="56D6D3"/>
          </w:tcPr>
          <w:p w14:paraId="570661A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ADE385D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2A250DB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66F1D0D5" w14:textId="77777777" w:rsidTr="000C490B">
        <w:tc>
          <w:tcPr>
            <w:tcW w:w="1834" w:type="pct"/>
            <w:gridSpan w:val="2"/>
          </w:tcPr>
          <w:p w14:paraId="78050C9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74C08DC9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0C5A53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0C490B" w:rsidRPr="0041391B" w14:paraId="146B22C5" w14:textId="77777777" w:rsidTr="000C490B">
        <w:tc>
          <w:tcPr>
            <w:tcW w:w="3383" w:type="pct"/>
            <w:gridSpan w:val="4"/>
          </w:tcPr>
          <w:p w14:paraId="65E55B6F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2AF1AC48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0C490B" w:rsidRPr="0041391B" w14:paraId="424DE747" w14:textId="77777777" w:rsidTr="000C490B">
        <w:tc>
          <w:tcPr>
            <w:tcW w:w="1834" w:type="pct"/>
            <w:gridSpan w:val="2"/>
            <w:shd w:val="clear" w:color="auto" w:fill="56D6D3"/>
          </w:tcPr>
          <w:p w14:paraId="6D21A68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3EFE3D0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A78AB3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3F49C821" w14:textId="77777777" w:rsidTr="000C490B">
        <w:tc>
          <w:tcPr>
            <w:tcW w:w="1834" w:type="pct"/>
            <w:gridSpan w:val="2"/>
          </w:tcPr>
          <w:p w14:paraId="41AE576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585BBE4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29F2B3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0C490B" w:rsidRPr="0041391B" w14:paraId="2A643C8B" w14:textId="77777777" w:rsidTr="000C490B">
        <w:tc>
          <w:tcPr>
            <w:tcW w:w="3383" w:type="pct"/>
            <w:gridSpan w:val="4"/>
          </w:tcPr>
          <w:p w14:paraId="0C8F6A1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74E5AE7F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0C490B" w:rsidRPr="0041391B" w14:paraId="0FAA5054" w14:textId="77777777" w:rsidTr="000C490B">
        <w:tc>
          <w:tcPr>
            <w:tcW w:w="3383" w:type="pct"/>
            <w:gridSpan w:val="4"/>
          </w:tcPr>
          <w:p w14:paraId="6273647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7FE1ACA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%40</w:t>
            </w:r>
          </w:p>
        </w:tc>
      </w:tr>
      <w:tr w:rsidR="000C490B" w:rsidRPr="0041391B" w14:paraId="263177D5" w14:textId="77777777" w:rsidTr="000C490B">
        <w:tc>
          <w:tcPr>
            <w:tcW w:w="3383" w:type="pct"/>
            <w:gridSpan w:val="4"/>
          </w:tcPr>
          <w:p w14:paraId="13D8542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6D210108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%60</w:t>
            </w:r>
          </w:p>
        </w:tc>
      </w:tr>
      <w:tr w:rsidR="000C490B" w:rsidRPr="0041391B" w14:paraId="267FD458" w14:textId="77777777" w:rsidTr="000C490B">
        <w:tc>
          <w:tcPr>
            <w:tcW w:w="3383" w:type="pct"/>
            <w:gridSpan w:val="4"/>
          </w:tcPr>
          <w:p w14:paraId="52CEFDD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69EC3A2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%100</w:t>
            </w:r>
          </w:p>
        </w:tc>
      </w:tr>
      <w:tr w:rsidR="000C490B" w:rsidRPr="0041391B" w14:paraId="134F189D" w14:textId="77777777" w:rsidTr="000C490B">
        <w:tc>
          <w:tcPr>
            <w:tcW w:w="5000" w:type="pct"/>
            <w:gridSpan w:val="6"/>
            <w:shd w:val="clear" w:color="auto" w:fill="00C0BB"/>
          </w:tcPr>
          <w:p w14:paraId="1101F635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2E4120CF" w14:textId="77777777" w:rsidTr="000C490B">
        <w:tc>
          <w:tcPr>
            <w:tcW w:w="1532" w:type="pct"/>
            <w:shd w:val="clear" w:color="auto" w:fill="56D6D3"/>
          </w:tcPr>
          <w:p w14:paraId="5C6FEBD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4CB788C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3806DC7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shd w:val="clear" w:color="auto" w:fill="56D6D3"/>
          </w:tcPr>
          <w:p w14:paraId="7A446E1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246D42" w:rsidRPr="0041391B" w14:paraId="577E1F11" w14:textId="77777777" w:rsidTr="000C490B">
        <w:tc>
          <w:tcPr>
            <w:tcW w:w="1532" w:type="pct"/>
          </w:tcPr>
          <w:p w14:paraId="139469C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3FAA1909" w14:textId="00A0B16A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B8F34C6" w14:textId="2FC2E3A9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FE88D36" w14:textId="62A48E0E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246D42" w:rsidRPr="0041391B" w14:paraId="1825758B" w14:textId="77777777" w:rsidTr="000C490B">
        <w:tc>
          <w:tcPr>
            <w:tcW w:w="1532" w:type="pct"/>
          </w:tcPr>
          <w:p w14:paraId="1C7AAFD6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29B8645C" w14:textId="5DEA9540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1EED911" w14:textId="0B6C9876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630A2B21" w14:textId="6021A308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246D42" w:rsidRPr="0041391B" w14:paraId="13AAEAE5" w14:textId="77777777" w:rsidTr="000C490B">
        <w:tc>
          <w:tcPr>
            <w:tcW w:w="1532" w:type="pct"/>
          </w:tcPr>
          <w:p w14:paraId="701B2631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C9517B1" w14:textId="057864A5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5EBABEBC" w14:textId="37C0B32D" w:rsidR="00246D42" w:rsidRPr="0041391B" w:rsidRDefault="00717FB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D341F8B" w14:textId="4D88CF8A" w:rsidR="00246D42" w:rsidRPr="0041391B" w:rsidRDefault="00717FB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46D42" w:rsidRPr="0041391B" w14:paraId="27F20FAB" w14:textId="77777777" w:rsidTr="000C490B">
        <w:tc>
          <w:tcPr>
            <w:tcW w:w="1532" w:type="pct"/>
          </w:tcPr>
          <w:p w14:paraId="1F020D0A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2CBAF4CD" w14:textId="58BE4F58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1B4E30D8" w14:textId="17F6C9A0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21B4962D" w14:textId="71A1ACC1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28</w:t>
            </w:r>
          </w:p>
        </w:tc>
      </w:tr>
      <w:tr w:rsidR="00246D42" w:rsidRPr="0041391B" w14:paraId="4AA7E274" w14:textId="77777777" w:rsidTr="000C490B">
        <w:tc>
          <w:tcPr>
            <w:tcW w:w="1532" w:type="pct"/>
          </w:tcPr>
          <w:p w14:paraId="0C4FEC5D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712B6C12" w14:textId="626D59B4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9DDE8E6" w14:textId="563C765C" w:rsidR="00246D42" w:rsidRPr="0041391B" w:rsidRDefault="00717FB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3" w:type="pct"/>
          </w:tcPr>
          <w:p w14:paraId="413C8ADC" w14:textId="79738F5D" w:rsidR="00246D42" w:rsidRPr="0041391B" w:rsidRDefault="00717FB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46D42" w:rsidRPr="0041391B" w14:paraId="2F1F7525" w14:textId="77777777" w:rsidTr="000C490B">
        <w:tc>
          <w:tcPr>
            <w:tcW w:w="1532" w:type="pct"/>
          </w:tcPr>
          <w:p w14:paraId="25A74F6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E9D5B3D" w14:textId="7F7175A4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15C1F793" w14:textId="688C47FA" w:rsidR="00246D42" w:rsidRPr="0041391B" w:rsidRDefault="00717FB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3" w:type="pct"/>
          </w:tcPr>
          <w:p w14:paraId="4D436FA9" w14:textId="1704623C" w:rsidR="00246D42" w:rsidRPr="0041391B" w:rsidRDefault="00717FB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46D42" w:rsidRPr="0041391B" w14:paraId="295B0E7A" w14:textId="77777777" w:rsidTr="000C490B">
        <w:tc>
          <w:tcPr>
            <w:tcW w:w="1532" w:type="pct"/>
          </w:tcPr>
          <w:p w14:paraId="64DDE29B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2F4B502B" w14:textId="2A8AAA0A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774F3EC2" w14:textId="1B0BBFEF" w:rsidR="00246D42" w:rsidRPr="0041391B" w:rsidRDefault="00717FB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627A112" w14:textId="51DD5A68" w:rsidR="00246D42" w:rsidRPr="0041391B" w:rsidRDefault="00717FB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C490B" w:rsidRPr="0041391B" w14:paraId="6B808048" w14:textId="77777777" w:rsidTr="000C490B">
        <w:tc>
          <w:tcPr>
            <w:tcW w:w="3757" w:type="pct"/>
            <w:gridSpan w:val="5"/>
            <w:shd w:val="clear" w:color="auto" w:fill="56D6D3"/>
          </w:tcPr>
          <w:p w14:paraId="2547171E" w14:textId="77777777" w:rsidR="000C490B" w:rsidRPr="0067663B" w:rsidRDefault="000C490B" w:rsidP="00250125">
            <w:pPr>
              <w:rPr>
                <w:b/>
                <w:bCs/>
                <w:sz w:val="20"/>
                <w:szCs w:val="20"/>
              </w:rPr>
            </w:pPr>
            <w:r w:rsidRPr="0067663B">
              <w:rPr>
                <w:b/>
                <w:bCs/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</w:tcPr>
          <w:p w14:paraId="334EA79A" w14:textId="0AC1BBBE" w:rsidR="000C490B" w:rsidRPr="002C2FAB" w:rsidRDefault="00717FB9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128</w:t>
            </w:r>
          </w:p>
        </w:tc>
      </w:tr>
      <w:tr w:rsidR="000C490B" w:rsidRPr="0041391B" w14:paraId="0A40AD18" w14:textId="77777777" w:rsidTr="000C490B">
        <w:tc>
          <w:tcPr>
            <w:tcW w:w="3757" w:type="pct"/>
            <w:gridSpan w:val="5"/>
            <w:shd w:val="clear" w:color="auto" w:fill="56D6D3"/>
          </w:tcPr>
          <w:p w14:paraId="3BC632FB" w14:textId="77777777" w:rsidR="000C490B" w:rsidRPr="0067663B" w:rsidRDefault="000C490B" w:rsidP="00250125">
            <w:pPr>
              <w:rPr>
                <w:b/>
                <w:bCs/>
                <w:sz w:val="20"/>
                <w:szCs w:val="20"/>
              </w:rPr>
            </w:pPr>
            <w:r w:rsidRPr="0067663B">
              <w:rPr>
                <w:b/>
                <w:bCs/>
                <w:sz w:val="20"/>
                <w:szCs w:val="20"/>
              </w:rPr>
              <w:t>AKTS (Toplam İş Yükü/25)</w:t>
            </w:r>
          </w:p>
        </w:tc>
        <w:tc>
          <w:tcPr>
            <w:tcW w:w="1243" w:type="pct"/>
          </w:tcPr>
          <w:p w14:paraId="3D9EA585" w14:textId="3A957785" w:rsidR="000C490B" w:rsidRPr="002C2FAB" w:rsidRDefault="00717FB9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128</w:t>
            </w:r>
            <w:r w:rsidR="00246D42" w:rsidRPr="002C2FAB">
              <w:rPr>
                <w:color w:val="000000" w:themeColor="text1"/>
                <w:sz w:val="20"/>
                <w:szCs w:val="20"/>
              </w:rPr>
              <w:t>/25=</w:t>
            </w:r>
            <w:r>
              <w:rPr>
                <w:color w:val="000000" w:themeColor="text1"/>
                <w:sz w:val="20"/>
                <w:szCs w:val="20"/>
              </w:rPr>
              <w:t>5,12</w:t>
            </w:r>
          </w:p>
        </w:tc>
      </w:tr>
    </w:tbl>
    <w:p w14:paraId="24F60594" w14:textId="3CED41BE" w:rsidR="0041391B" w:rsidRDefault="0041391B" w:rsidP="000C490B">
      <w:pPr>
        <w:jc w:val="center"/>
        <w:rPr>
          <w:sz w:val="20"/>
          <w:szCs w:val="20"/>
        </w:rPr>
      </w:pPr>
    </w:p>
    <w:p w14:paraId="74FFDABB" w14:textId="77777777" w:rsidR="0041391B" w:rsidRDefault="0041391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FB18A4" w14:textId="77777777" w:rsidR="000C490B" w:rsidRPr="0041391B" w:rsidRDefault="000C490B" w:rsidP="000C490B">
      <w:pPr>
        <w:jc w:val="center"/>
        <w:rPr>
          <w:sz w:val="20"/>
          <w:szCs w:val="2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486"/>
        <w:gridCol w:w="486"/>
        <w:gridCol w:w="483"/>
        <w:gridCol w:w="483"/>
        <w:gridCol w:w="483"/>
        <w:gridCol w:w="483"/>
        <w:gridCol w:w="488"/>
      </w:tblGrid>
      <w:tr w:rsidR="000C490B" w:rsidRPr="0041391B" w14:paraId="142EE1C6" w14:textId="77777777" w:rsidTr="008571CF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027D18D9" w14:textId="4E8006E8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 Çıktıları (PÇ) ile </w:t>
            </w:r>
            <w:r w:rsidR="005A2AA2">
              <w:rPr>
                <w:sz w:val="20"/>
                <w:szCs w:val="20"/>
              </w:rPr>
              <w:t>Eğitim Psikolojisi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3FA6E0F3" w14:textId="77777777" w:rsidTr="008571CF">
        <w:trPr>
          <w:trHeight w:val="57"/>
        </w:trPr>
        <w:tc>
          <w:tcPr>
            <w:tcW w:w="3463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2D6AF29D" w14:textId="31CFE9A0" w:rsidR="000C490B" w:rsidRPr="008D141E" w:rsidRDefault="000C490B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                                            </w:t>
            </w:r>
            <w:r w:rsidR="0041391B" w:rsidRPr="008D141E">
              <w:rPr>
                <w:sz w:val="20"/>
                <w:szCs w:val="20"/>
              </w:rPr>
              <w:t xml:space="preserve">                                         </w:t>
            </w:r>
            <w:r w:rsidR="008D141E" w:rsidRPr="008D141E">
              <w:rPr>
                <w:sz w:val="20"/>
                <w:szCs w:val="20"/>
              </w:rPr>
              <w:t xml:space="preserve">                </w:t>
            </w:r>
            <w:r w:rsidR="0041391B" w:rsidRPr="008D141E">
              <w:rPr>
                <w:sz w:val="20"/>
                <w:szCs w:val="20"/>
              </w:rPr>
              <w:t xml:space="preserve">         </w:t>
            </w:r>
            <w:r w:rsidRPr="008D141E">
              <w:rPr>
                <w:sz w:val="20"/>
                <w:szCs w:val="20"/>
              </w:rPr>
              <w:t xml:space="preserve"> Öğretim Çıktıları</w:t>
            </w:r>
          </w:p>
          <w:p w14:paraId="7AEA2BED" w14:textId="2F90A2FD" w:rsidR="000C490B" w:rsidRPr="008D141E" w:rsidRDefault="008D141E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</w:t>
            </w:r>
            <w:r w:rsidR="000C490B" w:rsidRPr="008D141E">
              <w:rPr>
                <w:sz w:val="20"/>
                <w:szCs w:val="20"/>
              </w:rPr>
              <w:t>Program Çıktıları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04A41A76" w14:textId="5B006BA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2697E1FB" w14:textId="1A2A11F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2BC52E1B" w14:textId="3A2FAD1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46868611" w14:textId="5210B5C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31D22639" w14:textId="661B873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66112FB2" w14:textId="491FFC1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3C5FBB72" w14:textId="6B17ACE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41391B" w:rsidRPr="0041391B" w14:paraId="10BC843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010B0A2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1. İlahiyat alanında kazanılan yeterliliklere dayalı, kuramsal ve uygulamalı bilgilere sahiptir.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B54EEF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460A22C" w14:textId="64E1F966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A3A3FB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AA044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072DA40" w14:textId="4C29AB1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12BCDE1" w14:textId="7594DCC1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885D15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F44505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B2A261D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2. İlahiyat alanında edindiği kuramsal ve uygulamalı bilgileri eğitim-öğretim, araştırma ve topluma hizmet alanlarında kullanır, çözümler ve uygular.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04F1B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BA3DD4" w14:textId="1CC8ACFF" w:rsidR="000C490B" w:rsidRPr="0041391B" w:rsidRDefault="000504E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EE2DA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E9FDC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EBA5480" w14:textId="0C47F291" w:rsidR="000C490B" w:rsidRPr="0041391B" w:rsidRDefault="007D5A3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D4880C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1820B3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FC39D6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A08B213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3. İlahiyat alanında karşılaşılan kadim ve güncel dini meseleleri saptama, tanımlama, yorumlama, formüle etme ve çözüm bulmada bireysel veya ekip üyesi olarak sorumluluk alır.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A453E6" w14:textId="6AE5C4AF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D3385F4" w14:textId="0BB74F0F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CA6D4F4" w14:textId="1260B211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7448375" w14:textId="229BF1D2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A741237" w14:textId="5398CF3E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1EBCBB4" w14:textId="28536214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DF29ED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FA9AF1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E7969D4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4. İlahiyat alanındaki bilgi ve becerileri </w:t>
            </w:r>
            <w:proofErr w:type="gramStart"/>
            <w:r w:rsidRPr="0041391B">
              <w:rPr>
                <w:sz w:val="18"/>
                <w:szCs w:val="18"/>
              </w:rPr>
              <w:t>kullanarak,</w:t>
            </w:r>
            <w:proofErr w:type="gramEnd"/>
            <w:r w:rsidRPr="0041391B">
              <w:rPr>
                <w:sz w:val="18"/>
                <w:szCs w:val="18"/>
              </w:rPr>
              <w:t xml:space="preserve"> hem kendisinin hem de sorumluluğu altında çalışanların kişisel ve mesleki gelişimine yönelik etkinlikleri planlar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2DDD0D2" w14:textId="1F7BF443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2A0C3DC" w14:textId="71566569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8691E8" w14:textId="1A7D5A65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19859F5" w14:textId="560181D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CBFDC5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7451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469F35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3A6572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BAE042F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5. İlahiyat alanında edindiği bilgi ve becerileri eleştirel bir yaklaşımla değerlendirir ve yaşam boyu öğrenmeye ilişkin olumlu tutum geliştirir.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E32CDB" w14:textId="12E03629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F3CA6B8" w14:textId="3E8A76D2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4D4E6E4" w14:textId="60FD2B6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6AA9106" w14:textId="6B771BCE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8A3EA3" w14:textId="5372A4A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A91DA8A" w14:textId="7024379E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879CC7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2F025A6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F6B915F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6. İlahiyat alanındaki çeşitli bilimsel, sosyal, kültürel ve sanatsal etkinliklere katılır.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CB4C78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E581E20" w14:textId="3876A022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5888A6B" w14:textId="39EA1C62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232E7B8" w14:textId="654FA1E2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5F01DD6" w14:textId="3B02437A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7B58A17" w14:textId="60E37A22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A7F5BC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E8B5508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1E13B08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7. Anadilde ve yabancı dilde ilahiyat alanında kuramsal ve uygulamalı bilgileri izler ve bunları ilgili alandaki paydaş kişi ve kuruluşlarla paylaşır.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8A260C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8674E9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E3FE73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4958DA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8674E3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30E0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2B5C9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15C4C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24A07BF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8. Çağın gerektirdiği dijital okuryazarlık becerisine sahip olur bunu ilahiyat alanında etkin bir şekilde kullanır.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D17FD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58C2E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439CE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BB2D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FD6E33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1D84F6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26A539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4AEE30F9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22A3ED0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9. Dini anlayış ve uygulamaların evrensel, toplumsal, hukuki ve etik değerlere ilişkin yansımaları hakkında farkındalık sahibidir.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9B88076" w14:textId="11D149E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62512F8" w14:textId="250C53A5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755A7B5" w14:textId="64F1B409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C0FAF0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0B9BAE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0447F18" w14:textId="2794A7F8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ECC9E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644911A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ED999EC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10. Değişen hayata ve yeniliğe karşı açık tutuma sahip olarak bilimsel, toplumsal, ekonomik, yasal ve siyasal gelişmelerden haberdardır.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CF2C7E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8ECBD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D1F0E1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B6BA5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BC84EF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8AD8A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FA5BCC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990D398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2367C25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11.</w:t>
            </w:r>
            <w:r w:rsidRPr="0041391B">
              <w:rPr>
                <w:bCs/>
                <w:sz w:val="18"/>
                <w:szCs w:val="18"/>
              </w:rPr>
              <w:t xml:space="preserve"> İlahiyat alt dalları ve diğer bilim alanları ile ilişki kurarak disiplinler arası araştırma, inceleme, analiz ve yorum yapar.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F4580CA" w14:textId="52D5EF42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86AAE10" w14:textId="1E4D3A95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FA445C5" w14:textId="13CD37E1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C158BFA" w14:textId="42E56CBC" w:rsidR="000C490B" w:rsidRPr="0041391B" w:rsidRDefault="00717FB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1A7E7F0" w14:textId="60DBABEE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179AE2A" w14:textId="665FA0E6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41B622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1D5DB4" w14:textId="103E46D1" w:rsidR="000C490B" w:rsidRPr="0041391B" w:rsidRDefault="000C490B">
      <w:pPr>
        <w:rPr>
          <w:sz w:val="20"/>
          <w:szCs w:val="20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489"/>
        <w:gridCol w:w="489"/>
        <w:gridCol w:w="489"/>
        <w:gridCol w:w="489"/>
        <w:gridCol w:w="489"/>
        <w:gridCol w:w="489"/>
        <w:gridCol w:w="485"/>
      </w:tblGrid>
      <w:tr w:rsidR="000C490B" w:rsidRPr="0041391B" w14:paraId="2AA05775" w14:textId="77777777" w:rsidTr="008571C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15C7BCBD" w14:textId="49C8EEA1" w:rsidR="000C490B" w:rsidRPr="0020083F" w:rsidRDefault="000C490B" w:rsidP="005A2AA2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3F">
              <w:rPr>
                <w:b/>
                <w:bCs/>
                <w:sz w:val="20"/>
                <w:szCs w:val="20"/>
              </w:rPr>
              <w:t xml:space="preserve">Programa Özgü Ölçütler (PÖÖ) ile </w:t>
            </w:r>
            <w:r w:rsidR="005A2AA2" w:rsidRPr="0020083F">
              <w:rPr>
                <w:b/>
                <w:bCs/>
                <w:sz w:val="20"/>
                <w:szCs w:val="20"/>
              </w:rPr>
              <w:t>Eğitim Psikolojisi</w:t>
            </w:r>
            <w:r w:rsidRPr="0020083F">
              <w:rPr>
                <w:b/>
                <w:bCs/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434D3580" w14:textId="77777777" w:rsidTr="008571CF">
        <w:trPr>
          <w:trHeight w:val="20"/>
        </w:trPr>
        <w:tc>
          <w:tcPr>
            <w:tcW w:w="3455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88C8DB0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</w:t>
            </w:r>
            <w:r w:rsidR="008D141E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   Öğretim Çıktıları</w:t>
            </w:r>
          </w:p>
          <w:p w14:paraId="2176087D" w14:textId="1F90B48E" w:rsidR="000C490B" w:rsidRPr="0041391B" w:rsidRDefault="008D141E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490B"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5102F4B" w14:textId="64E9BB89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38F33DB8" w14:textId="75CC6B6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6297D8"/>
            <w:vAlign w:val="center"/>
          </w:tcPr>
          <w:p w14:paraId="66937DC7" w14:textId="3E42540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0C490B" w:rsidRPr="0041391B" w14:paraId="095A8E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40A532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 Kur’an-ı Kerim bilgisine, doğru tilavet becerisine ve yeterli ezbere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24EF5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FE8C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6EACD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EA652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536DB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482A00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4197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100A4F6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22551B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2 Arapça temel kaynakları okuma ve anlama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CBDEF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D8F014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31A5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59A0CF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1EFDE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A38E4D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13AFF96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CE3B6B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0C54D7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 İtikat, ibadet, ahlak ve muamelata dair usul ve esasları kavrama ve dayandığı temelleri bilme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C393E0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0E233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6981B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A2450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3F584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729F50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AAF77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170A555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6E47BD2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4 Kur’an ve sünnet bütünlüğünü esas alan bir yaklaşıma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66EE0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6B158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9E1C0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A5B1A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79D123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FD154F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CB5B1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64754D8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983898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5 Bütüncül ve sistematik bir dini düşünce ve kavrayışa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3F6C69" w14:textId="23248FA0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A2EE1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6272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6834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BB49F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066E2" w14:textId="4CA6BC2D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E47DF1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83F7C1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98EBF4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44DEF3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CDE458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E29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E217AF3" w14:textId="338DD607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576C279" w14:textId="63588F8D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80F821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5FE4F9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6ADDBC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268949D7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BE286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58AF8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15262A6" w14:textId="5787F93A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09F524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B24045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C797A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711F34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568392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6D45E78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8 Farklı düşünce ve yorumlar karşısında saygı ve adaleti esas alma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C38F5E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3DEC9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A94E1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26ADC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E50A67" w14:textId="1670FA38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FCCCED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28A5A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59ABCE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A64A70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9 Kişi ve kurumlar yerine ilke ve değerleri üstün tutan bir anlayışa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26914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4D2B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8D272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523EC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E46AB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3BA82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3AED7D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AE1DC1A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C4EB2EE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31E57" w14:textId="7F314E01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E1FCD30" w14:textId="57EDE307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50FA59E" w14:textId="068AABB3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4518FEA" w14:textId="6F792C48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80AE4F7" w14:textId="484C80C3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4FEB338" w14:textId="39F4851E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A2E3CD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CDAD80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55C5A7E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AC7870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351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59B82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9F9A8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9CC40B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DC95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85415F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FCE19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29D7835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12 Dini danışmanlık ve rehberlik bilgi ve becerisine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9348F" w14:textId="0F63B55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251B4" w14:textId="0EB9F7C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C054B9E" w14:textId="275BFB0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32D573" w14:textId="09B607F5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33369BB" w14:textId="0630659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6BF35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6622F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DB29360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0C1043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7CBD96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5EE3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D3B871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BA84B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1822C6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9ED859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82AD17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3FF8E9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6CCBF36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7D065D7" w14:textId="7B4D2640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0DFC040" w14:textId="59C16587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2DF143E" w14:textId="6B60C4AE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31862D1" w14:textId="7A6642D7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993DE8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8CCC718" w14:textId="401F2738" w:rsidR="000C490B" w:rsidRPr="0041391B" w:rsidRDefault="0020083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2FECC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617473" w14:textId="52D8C726" w:rsidR="000C490B" w:rsidRPr="0041391B" w:rsidRDefault="000C490B" w:rsidP="000C490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03BD2AC9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415C8994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3B6C0AE1" w14:textId="452F4F48" w:rsidR="0020083F" w:rsidRDefault="000C490B" w:rsidP="0020083F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p w14:paraId="42B02A22" w14:textId="77777777" w:rsidR="0020083F" w:rsidRPr="0041391B" w:rsidRDefault="0020083F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</w:p>
    <w:sectPr w:rsidR="0020083F" w:rsidRPr="0041391B" w:rsidSect="000C490B">
      <w:headerReference w:type="default" r:id="rId8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04FF" w14:textId="77777777" w:rsidR="00864666" w:rsidRDefault="00864666" w:rsidP="007B135A">
      <w:r>
        <w:separator/>
      </w:r>
    </w:p>
  </w:endnote>
  <w:endnote w:type="continuationSeparator" w:id="0">
    <w:p w14:paraId="260A76A9" w14:textId="77777777" w:rsidR="00864666" w:rsidRDefault="00864666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C352" w14:textId="77777777" w:rsidR="00864666" w:rsidRDefault="00864666" w:rsidP="007B135A">
      <w:r>
        <w:separator/>
      </w:r>
    </w:p>
  </w:footnote>
  <w:footnote w:type="continuationSeparator" w:id="0">
    <w:p w14:paraId="53EEFB4B" w14:textId="77777777" w:rsidR="00864666" w:rsidRDefault="00864666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250125" w14:paraId="12370112" w14:textId="77777777" w:rsidTr="00D275D9">
      <w:trPr>
        <w:trHeight w:val="244"/>
      </w:trPr>
      <w:tc>
        <w:tcPr>
          <w:tcW w:w="1111" w:type="dxa"/>
          <w:vMerge w:val="restart"/>
        </w:tcPr>
        <w:p w14:paraId="2BCC6A6D" w14:textId="10D0A33B" w:rsidR="00250125" w:rsidRDefault="00A94A0E" w:rsidP="007B135A">
          <w:pPr>
            <w:pStyle w:val="TableParagraph"/>
            <w:ind w:left="105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2BF10" wp14:editId="6191E36E">
                <wp:extent cx="552450" cy="819150"/>
                <wp:effectExtent l="0" t="0" r="0" b="0"/>
                <wp:docPr id="1127905106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</w:tcPr>
        <w:p w14:paraId="5C1B9AE2" w14:textId="77777777" w:rsidR="00250125" w:rsidRDefault="00250125" w:rsidP="007B135A">
          <w:pPr>
            <w:pStyle w:val="TableParagraph"/>
            <w:spacing w:before="161"/>
            <w:rPr>
              <w:sz w:val="27"/>
            </w:rPr>
          </w:pPr>
        </w:p>
        <w:p w14:paraId="2A11AE4A" w14:textId="1F205740" w:rsidR="00250125" w:rsidRDefault="00250125" w:rsidP="007B135A">
          <w:pPr>
            <w:pStyle w:val="TableParagraph"/>
            <w:spacing w:before="1"/>
            <w:ind w:left="18"/>
            <w:jc w:val="center"/>
            <w:rPr>
              <w:sz w:val="27"/>
            </w:rPr>
          </w:pPr>
          <w:r>
            <w:rPr>
              <w:spacing w:val="-2"/>
              <w:w w:val="90"/>
              <w:sz w:val="27"/>
            </w:rPr>
            <w:t>Ders İzlence Formu</w:t>
          </w:r>
        </w:p>
      </w:tc>
      <w:tc>
        <w:tcPr>
          <w:tcW w:w="1663" w:type="dxa"/>
        </w:tcPr>
        <w:p w14:paraId="03580CBA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4"/>
              <w:w w:val="90"/>
              <w:sz w:val="20"/>
            </w:rPr>
            <w:t>Doküman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63ECE5C1" w14:textId="0CCA9026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35F0D45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6330CED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27C6DB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5A88F9BD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w w:val="90"/>
              <w:sz w:val="20"/>
            </w:rPr>
            <w:t>Yayın</w:t>
          </w:r>
          <w:r>
            <w:rPr>
              <w:b/>
              <w:spacing w:val="-4"/>
              <w:w w:val="9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53E1AAB7" w14:textId="5208B056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A91E07D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408CBAE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1EBEC0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02CB2297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45FA9E26" w14:textId="3261A55D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6820336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095DED3C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362D7C2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31FC19D3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2F77804E" w14:textId="6711BD9F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DAAFE3D" w14:textId="77777777" w:rsidTr="00D275D9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14C1DE0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C704B5F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2B0873A0" w14:textId="77777777" w:rsidR="00250125" w:rsidRDefault="00250125" w:rsidP="007B135A">
          <w:pPr>
            <w:pStyle w:val="TableParagraph"/>
            <w:ind w:left="81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1770" w:type="dxa"/>
        </w:tcPr>
        <w:p w14:paraId="7E487B31" w14:textId="2EA458A0" w:rsidR="00250125" w:rsidRDefault="00250125" w:rsidP="007B135A">
          <w:pPr>
            <w:pStyle w:val="TableParagraph"/>
            <w:spacing w:line="228" w:lineRule="exact"/>
            <w:ind w:left="81"/>
            <w:rPr>
              <w:sz w:val="20"/>
            </w:rPr>
          </w:pPr>
        </w:p>
      </w:tc>
    </w:tr>
  </w:tbl>
  <w:p w14:paraId="1D12DACC" w14:textId="77777777" w:rsidR="00250125" w:rsidRDefault="00250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0751">
    <w:abstractNumId w:val="1"/>
  </w:num>
  <w:num w:numId="2" w16cid:durableId="1049493810">
    <w:abstractNumId w:val="7"/>
  </w:num>
  <w:num w:numId="3" w16cid:durableId="259532321">
    <w:abstractNumId w:val="6"/>
  </w:num>
  <w:num w:numId="4" w16cid:durableId="326514932">
    <w:abstractNumId w:val="2"/>
  </w:num>
  <w:num w:numId="5" w16cid:durableId="330136876">
    <w:abstractNumId w:val="4"/>
  </w:num>
  <w:num w:numId="6" w16cid:durableId="1405637896">
    <w:abstractNumId w:val="8"/>
  </w:num>
  <w:num w:numId="7" w16cid:durableId="1223254303">
    <w:abstractNumId w:val="0"/>
  </w:num>
  <w:num w:numId="8" w16cid:durableId="1003317437">
    <w:abstractNumId w:val="5"/>
  </w:num>
  <w:num w:numId="9" w16cid:durableId="96620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A"/>
    <w:rsid w:val="0002636A"/>
    <w:rsid w:val="000504E4"/>
    <w:rsid w:val="000513A5"/>
    <w:rsid w:val="00067FF7"/>
    <w:rsid w:val="00076540"/>
    <w:rsid w:val="00087DE0"/>
    <w:rsid w:val="000B5DA2"/>
    <w:rsid w:val="000C490B"/>
    <w:rsid w:val="000D0AFB"/>
    <w:rsid w:val="00137AA6"/>
    <w:rsid w:val="00175C0D"/>
    <w:rsid w:val="00177132"/>
    <w:rsid w:val="001821BC"/>
    <w:rsid w:val="001C5AE0"/>
    <w:rsid w:val="001E3B22"/>
    <w:rsid w:val="0020083F"/>
    <w:rsid w:val="00246D42"/>
    <w:rsid w:val="00250125"/>
    <w:rsid w:val="00250B07"/>
    <w:rsid w:val="002A48EE"/>
    <w:rsid w:val="002C2FAB"/>
    <w:rsid w:val="002D139D"/>
    <w:rsid w:val="002E0389"/>
    <w:rsid w:val="002E43B2"/>
    <w:rsid w:val="003F109F"/>
    <w:rsid w:val="0041246B"/>
    <w:rsid w:val="004128FB"/>
    <w:rsid w:val="0041391B"/>
    <w:rsid w:val="004164BB"/>
    <w:rsid w:val="00423A0D"/>
    <w:rsid w:val="00466989"/>
    <w:rsid w:val="00483362"/>
    <w:rsid w:val="00487C4C"/>
    <w:rsid w:val="004C5D52"/>
    <w:rsid w:val="004E0805"/>
    <w:rsid w:val="004F3762"/>
    <w:rsid w:val="005163C2"/>
    <w:rsid w:val="005420A9"/>
    <w:rsid w:val="00567F55"/>
    <w:rsid w:val="005A2AA2"/>
    <w:rsid w:val="005D195E"/>
    <w:rsid w:val="006066B6"/>
    <w:rsid w:val="006241B7"/>
    <w:rsid w:val="00627301"/>
    <w:rsid w:val="00630CD3"/>
    <w:rsid w:val="0067145D"/>
    <w:rsid w:val="0067663B"/>
    <w:rsid w:val="006A3D1E"/>
    <w:rsid w:val="006A50B3"/>
    <w:rsid w:val="006B7447"/>
    <w:rsid w:val="006C5DBE"/>
    <w:rsid w:val="006D19D3"/>
    <w:rsid w:val="006E2F70"/>
    <w:rsid w:val="00716400"/>
    <w:rsid w:val="00717FB9"/>
    <w:rsid w:val="007519FB"/>
    <w:rsid w:val="007702CC"/>
    <w:rsid w:val="00782ED1"/>
    <w:rsid w:val="0078475F"/>
    <w:rsid w:val="00794990"/>
    <w:rsid w:val="007B135A"/>
    <w:rsid w:val="007B65A0"/>
    <w:rsid w:val="007B77E8"/>
    <w:rsid w:val="007D249D"/>
    <w:rsid w:val="007D24B1"/>
    <w:rsid w:val="007D3CED"/>
    <w:rsid w:val="007D5A36"/>
    <w:rsid w:val="007F7562"/>
    <w:rsid w:val="008520AF"/>
    <w:rsid w:val="008571CF"/>
    <w:rsid w:val="00864666"/>
    <w:rsid w:val="00872F59"/>
    <w:rsid w:val="00876EB6"/>
    <w:rsid w:val="0088126C"/>
    <w:rsid w:val="00896D9B"/>
    <w:rsid w:val="008B062F"/>
    <w:rsid w:val="008D141E"/>
    <w:rsid w:val="008F4FD4"/>
    <w:rsid w:val="008F692E"/>
    <w:rsid w:val="00921FE9"/>
    <w:rsid w:val="0094490B"/>
    <w:rsid w:val="00963042"/>
    <w:rsid w:val="00967DAA"/>
    <w:rsid w:val="009877C1"/>
    <w:rsid w:val="009A0EF0"/>
    <w:rsid w:val="009E527A"/>
    <w:rsid w:val="009F1BDD"/>
    <w:rsid w:val="00A007DD"/>
    <w:rsid w:val="00A94A0E"/>
    <w:rsid w:val="00A96B20"/>
    <w:rsid w:val="00AC783F"/>
    <w:rsid w:val="00B0455F"/>
    <w:rsid w:val="00B107E3"/>
    <w:rsid w:val="00B776C6"/>
    <w:rsid w:val="00BA0968"/>
    <w:rsid w:val="00BC4165"/>
    <w:rsid w:val="00BD3C76"/>
    <w:rsid w:val="00C33D3A"/>
    <w:rsid w:val="00C65E48"/>
    <w:rsid w:val="00C9025B"/>
    <w:rsid w:val="00C9066A"/>
    <w:rsid w:val="00C9290A"/>
    <w:rsid w:val="00CD6D1C"/>
    <w:rsid w:val="00CF3232"/>
    <w:rsid w:val="00D01F65"/>
    <w:rsid w:val="00D031CD"/>
    <w:rsid w:val="00D10D3D"/>
    <w:rsid w:val="00D275D9"/>
    <w:rsid w:val="00D65919"/>
    <w:rsid w:val="00D72055"/>
    <w:rsid w:val="00D93D59"/>
    <w:rsid w:val="00DA2D1D"/>
    <w:rsid w:val="00DC6BF7"/>
    <w:rsid w:val="00DD45C3"/>
    <w:rsid w:val="00DD5F37"/>
    <w:rsid w:val="00DE0F3B"/>
    <w:rsid w:val="00E0185C"/>
    <w:rsid w:val="00E1713F"/>
    <w:rsid w:val="00E17153"/>
    <w:rsid w:val="00E2395F"/>
    <w:rsid w:val="00E51DED"/>
    <w:rsid w:val="00E55DA3"/>
    <w:rsid w:val="00E8255F"/>
    <w:rsid w:val="00E90FE7"/>
    <w:rsid w:val="00EA4EEB"/>
    <w:rsid w:val="00EB22E8"/>
    <w:rsid w:val="00EB4442"/>
    <w:rsid w:val="00F16614"/>
    <w:rsid w:val="00F16B80"/>
    <w:rsid w:val="00F24707"/>
    <w:rsid w:val="00F560CF"/>
    <w:rsid w:val="00F81F80"/>
    <w:rsid w:val="00FB5231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hızır</dc:creator>
  <cp:lastModifiedBy>Mehmet KOYUNCU</cp:lastModifiedBy>
  <cp:revision>8</cp:revision>
  <dcterms:created xsi:type="dcterms:W3CDTF">2024-12-30T07:34:00Z</dcterms:created>
  <dcterms:modified xsi:type="dcterms:W3CDTF">2025-03-06T10:12:00Z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